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FDAD0" w14:textId="656D3F2A" w:rsidR="000566CC" w:rsidRDefault="002177CF">
      <w:pPr>
        <w:pStyle w:val="Header"/>
        <w:tabs>
          <w:tab w:val="right" w:pos="5954"/>
        </w:tabs>
        <w:spacing w:after="240"/>
        <w:jc w:val="right"/>
      </w:pPr>
      <w:r>
        <w:rPr>
          <w:b/>
          <w:bCs/>
          <w:color w:val="00558C"/>
          <w:sz w:val="24"/>
          <w:szCs w:val="24"/>
        </w:rPr>
        <w:t xml:space="preserve">Input paper:   </w:t>
      </w:r>
      <w:r>
        <w:rPr>
          <w:color w:val="00558C"/>
          <w:sz w:val="24"/>
          <w:szCs w:val="24"/>
        </w:rPr>
        <w:t>DTEC4-6.2.1.</w:t>
      </w:r>
      <w:r w:rsidR="0043674F">
        <w:rPr>
          <w:color w:val="00558C"/>
          <w:sz w:val="24"/>
          <w:szCs w:val="24"/>
        </w:rPr>
        <w:t>3</w:t>
      </w:r>
    </w:p>
    <w:p w14:paraId="25DFDAD1" w14:textId="77777777" w:rsidR="000566CC" w:rsidRDefault="000566CC">
      <w:pPr>
        <w:pStyle w:val="BodyText"/>
        <w:tabs>
          <w:tab w:val="left" w:pos="2835"/>
        </w:tabs>
      </w:pPr>
    </w:p>
    <w:p w14:paraId="25DFDAD2" w14:textId="77777777" w:rsidR="000566CC" w:rsidRDefault="002177CF">
      <w:pPr>
        <w:pStyle w:val="BodyText"/>
        <w:tabs>
          <w:tab w:val="left" w:pos="2835"/>
        </w:tabs>
        <w:spacing w:after="0"/>
      </w:pPr>
      <w:r>
        <w:rPr>
          <w:b/>
          <w:bCs/>
          <w:color w:val="00558C"/>
          <w:sz w:val="24"/>
          <w:szCs w:val="24"/>
        </w:rPr>
        <w:t>Input paper for the following Committee(s):</w:t>
      </w:r>
      <w:r>
        <w:rPr>
          <w:color w:val="00558C"/>
        </w:rPr>
        <w:t xml:space="preserve"> </w:t>
      </w:r>
      <w:r>
        <w:tab/>
      </w:r>
      <w:r>
        <w:tab/>
      </w:r>
      <w:r>
        <w:rPr>
          <w:b/>
          <w:bCs/>
          <w:color w:val="00558C"/>
          <w:sz w:val="24"/>
          <w:szCs w:val="24"/>
        </w:rPr>
        <w:t>Purpose of paper:</w:t>
      </w:r>
    </w:p>
    <w:p w14:paraId="25DFDAD3" w14:textId="77777777" w:rsidR="000566CC" w:rsidRDefault="002177CF">
      <w:pPr>
        <w:pStyle w:val="BodyText"/>
        <w:tabs>
          <w:tab w:val="left" w:pos="2835"/>
        </w:tabs>
        <w:rPr>
          <w:sz w:val="18"/>
          <w:szCs w:val="18"/>
        </w:rPr>
      </w:pPr>
      <w:r>
        <w:rPr>
          <w:sz w:val="18"/>
          <w:szCs w:val="18"/>
        </w:rPr>
        <w:t>(Select as appropriate)</w:t>
      </w:r>
      <w:r>
        <w:rPr>
          <w:sz w:val="18"/>
          <w:szCs w:val="18"/>
        </w:rPr>
        <w:tab/>
      </w:r>
    </w:p>
    <w:p w14:paraId="25DFDAD4" w14:textId="77777777" w:rsidR="000566CC" w:rsidRDefault="002177CF">
      <w:pPr>
        <w:pStyle w:val="BodyText"/>
        <w:tabs>
          <w:tab w:val="left" w:pos="1843"/>
        </w:tabs>
      </w:pPr>
      <w:r>
        <w:rPr>
          <w:rFonts w:ascii="MS Gothic" w:eastAsia="MS Gothic" w:hAnsi="MS Gothic" w:cs="Arial"/>
          <w:b/>
          <w:sz w:val="24"/>
          <w:szCs w:val="24"/>
        </w:rPr>
        <w:t>☐</w:t>
      </w:r>
      <w:r>
        <w:rPr>
          <w:rFonts w:cs="Arial"/>
          <w:sz w:val="24"/>
          <w:szCs w:val="24"/>
        </w:rPr>
        <w:t xml:space="preserve"> </w:t>
      </w:r>
      <w:r>
        <w:rPr>
          <w:rFonts w:cs="Arial"/>
        </w:rPr>
        <w:t>ARM</w:t>
      </w:r>
      <w:r>
        <w:rPr>
          <w:rFonts w:cs="Arial"/>
        </w:rPr>
        <w:tab/>
      </w:r>
      <w:r>
        <w:rPr>
          <w:rFonts w:ascii="MS Gothic" w:eastAsia="MS Gothic" w:hAnsi="MS Gothic" w:cs="Arial"/>
          <w:b/>
          <w:sz w:val="24"/>
          <w:szCs w:val="24"/>
        </w:rPr>
        <w:t>☐</w:t>
      </w:r>
      <w:r>
        <w:rPr>
          <w:rFonts w:cs="Arial"/>
          <w:sz w:val="24"/>
          <w:szCs w:val="24"/>
        </w:rPr>
        <w:t xml:space="preserve">  </w:t>
      </w:r>
      <w:r>
        <w:rPr>
          <w:rFonts w:cs="Arial"/>
        </w:rPr>
        <w:t>ENG</w:t>
      </w:r>
      <w:r>
        <w:rPr>
          <w:rFonts w:cs="Arial"/>
        </w:rPr>
        <w:tab/>
      </w:r>
      <w:r>
        <w:rPr>
          <w:rFonts w:cs="Arial"/>
        </w:rPr>
        <w:tab/>
      </w:r>
      <w:bookmarkStart w:id="0" w:name="_Hlk81060441"/>
      <w:r>
        <w:rPr>
          <w:rFonts w:ascii="MS Gothic" w:eastAsia="MS Gothic" w:hAnsi="MS Gothic" w:cs="Arial"/>
          <w:b/>
          <w:sz w:val="24"/>
          <w:szCs w:val="24"/>
        </w:rPr>
        <w:t>☐</w:t>
      </w:r>
      <w:r>
        <w:rPr>
          <w:rFonts w:cs="Arial"/>
          <w:sz w:val="24"/>
          <w:szCs w:val="24"/>
        </w:rPr>
        <w:t xml:space="preserve"> </w:t>
      </w:r>
      <w:bookmarkEnd w:id="0"/>
      <w:r>
        <w:rPr>
          <w:rFonts w:cs="Arial"/>
        </w:rPr>
        <w:t>PAP</w:t>
      </w:r>
      <w:r>
        <w:rPr>
          <w:rFonts w:cs="Arial"/>
          <w:sz w:val="24"/>
          <w:szCs w:val="24"/>
        </w:rPr>
        <w:tab/>
      </w:r>
      <w:r>
        <w:rPr>
          <w:rFonts w:cs="Arial"/>
          <w:sz w:val="24"/>
          <w:szCs w:val="24"/>
        </w:rPr>
        <w:tab/>
      </w:r>
      <w:r>
        <w:rPr>
          <w:rFonts w:cs="Arial"/>
          <w:sz w:val="24"/>
          <w:szCs w:val="24"/>
        </w:rPr>
        <w:tab/>
      </w:r>
      <w:r>
        <w:rPr>
          <w:rFonts w:ascii="MS Gothic" w:eastAsia="MS Gothic" w:hAnsi="MS Gothic" w:cs="Arial"/>
          <w:b/>
          <w:sz w:val="24"/>
          <w:szCs w:val="24"/>
        </w:rPr>
        <w:t>☐</w:t>
      </w:r>
      <w:r>
        <w:rPr>
          <w:rFonts w:cs="Arial"/>
          <w:sz w:val="24"/>
          <w:szCs w:val="24"/>
        </w:rPr>
        <w:t xml:space="preserve"> </w:t>
      </w:r>
      <w:r>
        <w:rPr>
          <w:rFonts w:cs="Arial"/>
        </w:rPr>
        <w:t>Input</w:t>
      </w:r>
    </w:p>
    <w:p w14:paraId="25DFDAD5" w14:textId="77777777" w:rsidR="000566CC" w:rsidRDefault="002177CF">
      <w:pPr>
        <w:pStyle w:val="BodyText"/>
        <w:tabs>
          <w:tab w:val="left" w:pos="1843"/>
        </w:tabs>
      </w:pPr>
      <w:r>
        <w:rPr>
          <w:rFonts w:ascii="MS Gothic" w:eastAsia="MS Gothic" w:hAnsi="MS Gothic" w:cs="Arial"/>
          <w:b/>
        </w:rPr>
        <w:t>☒</w:t>
      </w:r>
      <w:r>
        <w:rPr>
          <w:rFonts w:cs="Arial"/>
        </w:rPr>
        <w:t xml:space="preserve"> DTEC</w:t>
      </w:r>
      <w:r>
        <w:rPr>
          <w:rFonts w:cs="Arial"/>
          <w:b/>
        </w:rPr>
        <w:tab/>
      </w:r>
      <w:r>
        <w:rPr>
          <w:rFonts w:ascii="MS Gothic" w:eastAsia="MS Gothic" w:hAnsi="MS Gothic" w:cs="Arial"/>
          <w:b/>
        </w:rPr>
        <w:t>☐</w:t>
      </w:r>
      <w:r>
        <w:rPr>
          <w:rFonts w:cs="Arial"/>
        </w:rPr>
        <w:t xml:space="preserve"> VTS</w:t>
      </w:r>
      <w:r>
        <w:rPr>
          <w:rFonts w:cs="Arial"/>
        </w:rPr>
        <w:tab/>
      </w:r>
      <w:r>
        <w:rPr>
          <w:rFonts w:cs="Arial"/>
        </w:rPr>
        <w:tab/>
      </w:r>
      <w:r>
        <w:rPr>
          <w:rFonts w:cs="Arial"/>
        </w:rPr>
        <w:tab/>
      </w:r>
      <w:r>
        <w:rPr>
          <w:rFonts w:cs="Arial"/>
        </w:rPr>
        <w:tab/>
      </w:r>
      <w:r>
        <w:rPr>
          <w:rFonts w:cs="Arial"/>
        </w:rPr>
        <w:tab/>
        <w:t>☒ Information</w:t>
      </w:r>
    </w:p>
    <w:p w14:paraId="25DFDAD6" w14:textId="77777777" w:rsidR="000566CC" w:rsidRDefault="000566CC">
      <w:pPr>
        <w:pStyle w:val="BodyText"/>
        <w:tabs>
          <w:tab w:val="left" w:pos="2835"/>
        </w:tabs>
      </w:pPr>
    </w:p>
    <w:p w14:paraId="25DFDAD7" w14:textId="414CEFAE" w:rsidR="000566CC" w:rsidRDefault="002177CF">
      <w:pPr>
        <w:pStyle w:val="BodyText"/>
        <w:tabs>
          <w:tab w:val="left" w:pos="2835"/>
        </w:tabs>
      </w:pPr>
      <w:r>
        <w:rPr>
          <w:b/>
          <w:bCs/>
          <w:color w:val="00558C"/>
          <w:sz w:val="24"/>
          <w:szCs w:val="24"/>
        </w:rPr>
        <w:t>Agenda item</w:t>
      </w:r>
      <w:r>
        <w:t xml:space="preserve"> </w:t>
      </w:r>
      <w:r>
        <w:rPr>
          <w:rStyle w:val="FootnoteReference"/>
          <w:sz w:val="22"/>
        </w:rPr>
        <w:footnoteReference w:id="1"/>
      </w:r>
      <w:r>
        <w:tab/>
      </w:r>
      <w:r>
        <w:tab/>
      </w:r>
      <w:r>
        <w:tab/>
        <w:t>6.2</w:t>
      </w:r>
    </w:p>
    <w:p w14:paraId="25DFDAD8" w14:textId="77777777" w:rsidR="000566CC" w:rsidRDefault="002177CF">
      <w:pPr>
        <w:pStyle w:val="BodyText"/>
        <w:tabs>
          <w:tab w:val="left" w:pos="2835"/>
        </w:tabs>
      </w:pPr>
      <w:r>
        <w:rPr>
          <w:b/>
          <w:bCs/>
          <w:color w:val="00558C"/>
          <w:sz w:val="24"/>
          <w:szCs w:val="24"/>
        </w:rPr>
        <w:t>Technical domain/ Task number</w:t>
      </w:r>
      <w:r>
        <w:t xml:space="preserve"> </w:t>
      </w:r>
      <w:r>
        <w:rPr>
          <w:vertAlign w:val="superscript"/>
        </w:rPr>
        <w:t>2</w:t>
      </w:r>
      <w:r>
        <w:tab/>
        <w:t>…………………………………</w:t>
      </w:r>
    </w:p>
    <w:p w14:paraId="25DFDAD9" w14:textId="77777777" w:rsidR="000566CC" w:rsidRDefault="002177CF">
      <w:pPr>
        <w:pStyle w:val="BodyText"/>
        <w:tabs>
          <w:tab w:val="left" w:pos="2835"/>
        </w:tabs>
      </w:pPr>
      <w:r>
        <w:rPr>
          <w:b/>
          <w:bCs/>
          <w:color w:val="00558C"/>
          <w:sz w:val="24"/>
          <w:szCs w:val="24"/>
        </w:rPr>
        <w:t>Author(s)/Submitter(s)</w:t>
      </w:r>
      <w:r>
        <w:tab/>
      </w:r>
      <w:r>
        <w:tab/>
      </w:r>
      <w:r>
        <w:tab/>
        <w:t>Sternula A/S, AIVeNautics corp.</w:t>
      </w:r>
    </w:p>
    <w:p w14:paraId="25DFDADA" w14:textId="77777777" w:rsidR="000566CC" w:rsidRDefault="002177CF">
      <w:pPr>
        <w:pStyle w:val="BodyText"/>
        <w:tabs>
          <w:tab w:val="left" w:pos="7860"/>
        </w:tabs>
      </w:pPr>
      <w:r>
        <w:tab/>
      </w:r>
    </w:p>
    <w:p w14:paraId="25DFDADB" w14:textId="77777777" w:rsidR="000566CC" w:rsidRDefault="002177CF">
      <w:pPr>
        <w:pStyle w:val="Title"/>
      </w:pPr>
      <w:r>
        <w:t>Report on mcp related work conducted in international projects</w:t>
      </w:r>
    </w:p>
    <w:p w14:paraId="25DFDADC" w14:textId="77777777" w:rsidR="000566CC" w:rsidRDefault="002177CF">
      <w:pPr>
        <w:pStyle w:val="Heading1"/>
      </w:pPr>
      <w:r>
        <w:t>Summary</w:t>
      </w:r>
    </w:p>
    <w:p w14:paraId="25DFDADD" w14:textId="77777777" w:rsidR="000566CC" w:rsidRDefault="002177CF">
      <w:pPr>
        <w:pStyle w:val="BodyText"/>
      </w:pPr>
      <w:r>
        <w:t>This information paper simply informs about MCP related work conducted by Sternula A/S, AIVeNautics corp. and their Danish partner company Digital Maritime Consultancy (DMC) in two international projects</w:t>
      </w:r>
    </w:p>
    <w:p w14:paraId="25DFDADE" w14:textId="77777777" w:rsidR="000566CC" w:rsidRDefault="002177CF">
      <w:pPr>
        <w:pStyle w:val="BodyText"/>
      </w:pPr>
      <w:r>
        <w:tab/>
        <w:t>The EU BSR project MaDaMe</w:t>
      </w:r>
    </w:p>
    <w:p w14:paraId="25DFDADF" w14:textId="77777777" w:rsidR="000566CC" w:rsidRDefault="002177CF">
      <w:pPr>
        <w:pStyle w:val="BodyText"/>
      </w:pPr>
      <w:r>
        <w:tab/>
        <w:t>Korean VOOST project</w:t>
      </w:r>
    </w:p>
    <w:p w14:paraId="25DFDAE0" w14:textId="77777777" w:rsidR="000566CC" w:rsidRDefault="000566CC">
      <w:pPr>
        <w:pStyle w:val="BodyText"/>
      </w:pPr>
    </w:p>
    <w:p w14:paraId="25DFDAE1" w14:textId="77777777" w:rsidR="000566CC" w:rsidRDefault="002177CF">
      <w:pPr>
        <w:pStyle w:val="Heading1"/>
      </w:pPr>
      <w:r>
        <w:t>Background</w:t>
      </w:r>
    </w:p>
    <w:p w14:paraId="25DFDAE2" w14:textId="77777777" w:rsidR="000566CC" w:rsidRDefault="002177CF">
      <w:pPr>
        <w:pStyle w:val="BodyText"/>
      </w:pPr>
      <w:r>
        <w:t>Sternula has developed interfaces (MMS edge router) to MMS router network of AIVeNautics/DMC, enabling MMS to be used over VDES connection. Sternula and AIVeNautics have worked together on testing the technologies, which will also be demonstrated during DTEC4.</w:t>
      </w:r>
    </w:p>
    <w:p w14:paraId="25DFDAE3" w14:textId="77777777" w:rsidR="000566CC" w:rsidRDefault="002177CF">
      <w:pPr>
        <w:pStyle w:val="BodyText"/>
      </w:pPr>
      <w:r>
        <w:t>A draft test report is included in the annex of this paper.</w:t>
      </w:r>
    </w:p>
    <w:p w14:paraId="25DFDAE4" w14:textId="77777777" w:rsidR="000566CC" w:rsidRDefault="002177CF">
      <w:pPr>
        <w:pStyle w:val="Heading2"/>
      </w:pPr>
      <w:r>
        <w:t>The Sternula MMS Edge Routers</w:t>
      </w:r>
    </w:p>
    <w:p w14:paraId="25DFDAE5" w14:textId="77777777" w:rsidR="000566CC" w:rsidRDefault="002177CF">
      <w:pPr>
        <w:pStyle w:val="BodyText"/>
      </w:pPr>
      <w:r>
        <w:t>Network edges work as bridges from the global MMS network, which is being operated by AIVeNautics and DMC  to a local network onboard a ship or edges situated at the shore line that connects ships to shore. This bridge is often referred to “the last mile” which injects data from shore to the ships local network. Sternula produces two edge routers; MMS Proxy Ship and MMS Proxy Shore</w:t>
      </w:r>
    </w:p>
    <w:p w14:paraId="25DFDAE6" w14:textId="77777777" w:rsidR="000566CC" w:rsidRDefault="002177CF">
      <w:pPr>
        <w:pStyle w:val="Heading3"/>
      </w:pPr>
      <w:r>
        <w:t>MMS Proxy Ship</w:t>
      </w:r>
    </w:p>
    <w:p w14:paraId="25DFDAE7" w14:textId="77777777" w:rsidR="000566CC" w:rsidRDefault="002177CF">
      <w:pPr>
        <w:pStyle w:val="BodyText"/>
      </w:pPr>
      <w:r>
        <w:t>This unit is installed on a ship and can connect directly to a MMS router network using an IP connection or other transports that support an MMS binding such as VDE-TER and VDE-SAT.</w:t>
      </w:r>
    </w:p>
    <w:p w14:paraId="25DFDAE8" w14:textId="77777777" w:rsidR="000566CC" w:rsidRDefault="002177CF">
      <w:pPr>
        <w:pStyle w:val="Heading3"/>
      </w:pPr>
      <w:r>
        <w:lastRenderedPageBreak/>
        <w:t>MMS Proxy Shore</w:t>
      </w:r>
    </w:p>
    <w:p w14:paraId="25DFDAE9" w14:textId="77777777" w:rsidR="000566CC" w:rsidRDefault="002177CF">
      <w:pPr>
        <w:pStyle w:val="BodyText"/>
      </w:pPr>
      <w:r>
        <w:t>This unit is installed alongside a VDE-TER capable base station on shore. The MMS Proxy Shore unit connects to the MMS Router network and relays MMS messages using VDE-TER to VDE-TER MMS Edge router capable units such as the MMS Proxy Ship.</w:t>
      </w:r>
    </w:p>
    <w:p w14:paraId="25DFDAEA" w14:textId="77777777" w:rsidR="000566CC" w:rsidRDefault="000566CC">
      <w:pPr>
        <w:pStyle w:val="BodyText"/>
      </w:pPr>
    </w:p>
    <w:p w14:paraId="25DFDAEB" w14:textId="77777777" w:rsidR="000566CC" w:rsidRDefault="002177CF">
      <w:pPr>
        <w:pStyle w:val="Heading1"/>
      </w:pPr>
      <w:r>
        <w:t>A functional network</w:t>
      </w:r>
    </w:p>
    <w:p w14:paraId="25DFDAEC" w14:textId="77777777" w:rsidR="000566CC" w:rsidRDefault="002177CF">
      <w:pPr>
        <w:pStyle w:val="BodyText"/>
      </w:pPr>
      <w:r>
        <w:t>The MaDaMe project is steadily yielding a functional MMS testbed that encompasses MMS transport through</w:t>
      </w:r>
    </w:p>
    <w:p w14:paraId="25DFDAED" w14:textId="77777777" w:rsidR="000566CC" w:rsidRDefault="002177CF">
      <w:pPr>
        <w:pStyle w:val="BodyText"/>
        <w:numPr>
          <w:ilvl w:val="0"/>
          <w:numId w:val="25"/>
        </w:numPr>
      </w:pPr>
      <w:r>
        <w:t>TCP/IP</w:t>
      </w:r>
    </w:p>
    <w:p w14:paraId="25DFDAEE" w14:textId="77777777" w:rsidR="000566CC" w:rsidRDefault="002177CF">
      <w:pPr>
        <w:pStyle w:val="BodyText"/>
        <w:numPr>
          <w:ilvl w:val="0"/>
          <w:numId w:val="25"/>
        </w:numPr>
      </w:pPr>
      <w:r>
        <w:t>VDE-TER</w:t>
      </w:r>
    </w:p>
    <w:p w14:paraId="25DFDAEF" w14:textId="77777777" w:rsidR="000566CC" w:rsidRDefault="002177CF">
      <w:pPr>
        <w:pStyle w:val="BodyText"/>
        <w:numPr>
          <w:ilvl w:val="0"/>
          <w:numId w:val="25"/>
        </w:numPr>
      </w:pPr>
      <w:r>
        <w:t>VDE-SAT</w:t>
      </w:r>
    </w:p>
    <w:p w14:paraId="25DFDAF0" w14:textId="77777777" w:rsidR="000566CC" w:rsidRDefault="002177CF">
      <w:pPr>
        <w:pStyle w:val="BodyText"/>
      </w:pPr>
      <w:r>
        <w:t>Several ships have been equipped with MMS Proxy Ship units and VDE-TER basestations with MMS Proxy Shore.</w:t>
      </w:r>
    </w:p>
    <w:p w14:paraId="25DFDAF1" w14:textId="77777777" w:rsidR="000566CC" w:rsidRDefault="000566CC">
      <w:pPr>
        <w:pStyle w:val="BodyText"/>
      </w:pPr>
    </w:p>
    <w:p w14:paraId="25DFDAF2" w14:textId="61B40B28" w:rsidR="000566CC" w:rsidRDefault="0043674F">
      <w:pPr>
        <w:pStyle w:val="BodyText"/>
      </w:pPr>
      <w:r>
        <w:rPr>
          <w:noProof/>
        </w:rPr>
        <w:pict w14:anchorId="3E30A3FE">
          <v:rect id="Frame2" o:spid="_x0000_s1053" style="position:absolute;left:0;text-align:left;margin-left:0;margin-top:.05pt;width:510.25pt;height:269.1pt;z-index:251644928;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" o:allowincell="f" stroked="f" strokeweight="0">
            <v:textbox inset="0,0,0,0">
              <w:txbxContent>
                <w:p w14:paraId="25DFDCEE" w14:textId="77777777" w:rsidR="000566CC" w:rsidRDefault="002177CF">
                  <w:pPr>
                    <w:pStyle w:val="Figure0"/>
                  </w:pPr>
                  <w:r>
                    <w:rPr>
                      <w:noProof/>
                    </w:rPr>
                    <w:drawing>
                      <wp:inline distT="0" distB="0" distL="0" distR="0" wp14:anchorId="25DFDCF2" wp14:editId="25DFDCF3">
                        <wp:extent cx="6480175" cy="2767330"/>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0"/>
                                <a:stretch>
                                  <a:fillRect/>
                                </a:stretch>
                              </pic:blipFill>
                              <pic:spPr bwMode="auto">
                                <a:xfrm>
                                  <a:off x="0" y="0"/>
                                  <a:ext cx="6480175" cy="2767330"/>
                                </a:xfrm>
                                <a:prstGeom prst="rect">
                                  <a:avLst/>
                                </a:prstGeom>
                                <a:noFill/>
                              </pic:spPr>
                            </pic:pic>
                          </a:graphicData>
                        </a:graphic>
                      </wp:inline>
                    </w:drawing>
                  </w:r>
                  <w:r>
                    <w:t xml:space="preserve">Figure </w:t>
                  </w:r>
                  <w:fldSimple w:instr=" SEQ Figure \* ARABIC ">
                    <w:r>
                      <w:t>1</w:t>
                    </w:r>
                  </w:fldSimple>
                  <w:r>
                    <w:t>: MMS Edge routers. The ship (on the left) is equipped with a MMS Proxy Ship, Saab R6 (VDES) and an IP connection through 4G. The shore station (on the right) is equipped with a MMS Proxy Shore, Saab R60 (VDES) and an IP connection through 4G</w:t>
                  </w:r>
                </w:p>
              </w:txbxContent>
            </v:textbox>
            <w10:wrap type="square" side="largest"/>
          </v:rect>
        </w:pict>
      </w:r>
      <w:r w:rsidR="002177CF">
        <w:t>So far, three ships have been fully equipped with MMS Proxy Ship, Saab R6 and a 4G connection and are sailing daily and/or weekly in Kattegat, the North Sea, Femern Strait, and the Baltic Sea. One VDE-TER base station has also been established that uses a MMS Proxy Shore, Saab R60 and 4G connection. It is placed in Aalborg, Denmark, but the following VDE-TER base stations are expected to be established during the MaDaMe as seen in Figure 2:</w:t>
      </w:r>
    </w:p>
    <w:p w14:paraId="25DFDAF3" w14:textId="77777777" w:rsidR="000566CC" w:rsidRDefault="000566CC">
      <w:pPr>
        <w:pStyle w:val="BodyText"/>
      </w:pPr>
    </w:p>
    <w:p w14:paraId="25DFDAF4" w14:textId="77777777" w:rsidR="000566CC" w:rsidRDefault="002177CF">
      <w:pPr>
        <w:pStyle w:val="BodyText"/>
      </w:pPr>
      <w:r>
        <w:t xml:space="preserve">The VOOST project in the Republic of Korea is setting up testbeds for interoperability tests among VDES systems from different manufactures and for e-Navigation service deliverability via VDES. MMS router network is used for connecting VDES networks of different operators. As the first step of connecting VDES networks, </w:t>
      </w:r>
    </w:p>
    <w:p w14:paraId="25DFDAF5" w14:textId="77777777" w:rsidR="000566CC" w:rsidRDefault="000566CC">
      <w:pPr>
        <w:pStyle w:val="BodyText"/>
      </w:pPr>
    </w:p>
    <w:p w14:paraId="25DFDAF6" w14:textId="77777777" w:rsidR="000566CC" w:rsidRDefault="002177CF">
      <w:pPr>
        <w:pStyle w:val="BodyText"/>
        <w:keepNext/>
      </w:pPr>
      <w:r>
        <w:rPr>
          <w:noProof/>
        </w:rPr>
        <w:lastRenderedPageBreak/>
        <w:drawing>
          <wp:inline distT="0" distB="0" distL="0" distR="0" wp14:anchorId="25DFDC47" wp14:editId="25DFDC48">
            <wp:extent cx="6480175" cy="3606165"/>
            <wp:effectExtent l="0" t="0" r="0" b="0"/>
            <wp:docPr id="2" name="그림 1" descr="텍스트, 지도, 스크린샷, 도표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descr="텍스트, 지도, 스크린샷, 도표이(가) 표시된 사진&#10;&#10;AI가 생성한 콘텐츠는 부정확할 수 있습니다."/>
                    <pic:cNvPicPr>
                      <a:picLocks noChangeAspect="1" noChangeArrowheads="1"/>
                    </pic:cNvPicPr>
                  </pic:nvPicPr>
                  <pic:blipFill>
                    <a:blip r:embed="rId11"/>
                    <a:stretch>
                      <a:fillRect/>
                    </a:stretch>
                  </pic:blipFill>
                  <pic:spPr bwMode="auto">
                    <a:xfrm>
                      <a:off x="0" y="0"/>
                      <a:ext cx="6480175" cy="3606165"/>
                    </a:xfrm>
                    <a:prstGeom prst="rect">
                      <a:avLst/>
                    </a:prstGeom>
                    <a:noFill/>
                  </pic:spPr>
                </pic:pic>
              </a:graphicData>
            </a:graphic>
          </wp:inline>
        </w:drawing>
      </w:r>
    </w:p>
    <w:p w14:paraId="25DFDAF7" w14:textId="77777777" w:rsidR="000566CC" w:rsidRDefault="002177CF">
      <w:pPr>
        <w:pStyle w:val="Caption"/>
        <w:jc w:val="center"/>
      </w:pPr>
      <w:r>
        <w:t>Figure 2: Conceptual diagram of VOOST project</w:t>
      </w:r>
    </w:p>
    <w:p w14:paraId="25DFDAF8" w14:textId="77777777" w:rsidR="000566CC" w:rsidRDefault="000566CC">
      <w:pPr>
        <w:pStyle w:val="BodyText"/>
      </w:pPr>
    </w:p>
    <w:p w14:paraId="25DFDAF9" w14:textId="77777777" w:rsidR="000566CC" w:rsidRDefault="000566CC">
      <w:pPr>
        <w:pStyle w:val="BodyText"/>
      </w:pPr>
    </w:p>
    <w:p w14:paraId="25DFDAFA" w14:textId="77777777" w:rsidR="000566CC" w:rsidRDefault="000566CC">
      <w:pPr>
        <w:pStyle w:val="BodyText"/>
      </w:pPr>
    </w:p>
    <w:p w14:paraId="25DFDAFB" w14:textId="77777777" w:rsidR="000566CC" w:rsidRDefault="000566CC">
      <w:pPr>
        <w:pStyle w:val="BodyText"/>
      </w:pPr>
    </w:p>
    <w:p w14:paraId="25DFDAFC" w14:textId="531184DD" w:rsidR="000566CC" w:rsidRDefault="0043674F">
      <w:pPr>
        <w:pStyle w:val="BodyText"/>
      </w:pPr>
      <w:r>
        <w:rPr>
          <w:noProof/>
        </w:rPr>
        <w:lastRenderedPageBreak/>
        <w:pict w14:anchorId="66CAB451">
          <v:rect id="Frame3" o:spid="_x0000_s1052" style="position:absolute;left:0;text-align:left;margin-left:0;margin-top:.05pt;width:510.25pt;height:458.2pt;z-index:251645952;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" o:allowincell="f" stroked="f" strokeweight="0">
            <v:textbox inset="0,0,0,0">
              <w:txbxContent>
                <w:p w14:paraId="25DFDCEF" w14:textId="77777777" w:rsidR="000566CC" w:rsidRDefault="002177CF">
                  <w:pPr>
                    <w:pStyle w:val="Figure0"/>
                  </w:pPr>
                  <w:r>
                    <w:rPr>
                      <w:noProof/>
                    </w:rPr>
                    <w:drawing>
                      <wp:inline distT="0" distB="0" distL="0" distR="0" wp14:anchorId="25DFDCF4" wp14:editId="25DFDCF5">
                        <wp:extent cx="6480175" cy="5494020"/>
                        <wp:effectExtent l="0" t="0" r="0" b="0"/>
                        <wp:docPr id="5"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12"/>
                                <a:stretch>
                                  <a:fillRect/>
                                </a:stretch>
                              </pic:blipFill>
                              <pic:spPr bwMode="auto">
                                <a:xfrm>
                                  <a:off x="0" y="0"/>
                                  <a:ext cx="6480175" cy="5494020"/>
                                </a:xfrm>
                                <a:prstGeom prst="rect">
                                  <a:avLst/>
                                </a:prstGeom>
                                <a:noFill/>
                              </pic:spPr>
                            </pic:pic>
                          </a:graphicData>
                        </a:graphic>
                      </wp:inline>
                    </w:drawing>
                  </w:r>
                  <w:r>
                    <w:t xml:space="preserve">Figure </w:t>
                  </w:r>
                  <w:fldSimple w:instr=" SEQ Figure \* ARABIC ">
                    <w:r>
                      <w:t>2</w:t>
                    </w:r>
                  </w:fldSimple>
                  <w:r>
                    <w:t>: Established and expected VDE-TER basestations. Each green circle represents the coverage for each basestation. Radius: 50km</w:t>
                  </w:r>
                </w:p>
              </w:txbxContent>
            </v:textbox>
            <w10:wrap type="square" side="largest"/>
          </v:rect>
        </w:pict>
      </w:r>
    </w:p>
    <w:p w14:paraId="25DFDAFD" w14:textId="77777777" w:rsidR="000566CC" w:rsidRDefault="002177CF">
      <w:pPr>
        <w:pStyle w:val="Heading1"/>
      </w:pPr>
      <w:r>
        <w:t>Preliminary test results</w:t>
      </w:r>
    </w:p>
    <w:p w14:paraId="25DFDAFE" w14:textId="77777777" w:rsidR="000566CC" w:rsidRDefault="002177CF">
      <w:pPr>
        <w:pStyle w:val="BodyText"/>
      </w:pPr>
      <w:r>
        <w:t>The MaDaMe project and VOOST project have not yet reached the phase where the official pilot tests are conducted, but preliminary tests are conducted continonusly, and an overview is presented in this chapter. The tests have focused on sending navigational warnings, formatted as S-124, from shore to ship using VDE-TER and VDE-SAT. The navigational warnings were tranported in an MMS object via MMS router network.</w:t>
      </w:r>
    </w:p>
    <w:p w14:paraId="25DFDAFF" w14:textId="77777777" w:rsidR="000566CC" w:rsidRDefault="002177CF">
      <w:pPr>
        <w:pStyle w:val="Heading2"/>
      </w:pPr>
      <w:r>
        <w:t>VDE-TER</w:t>
      </w:r>
    </w:p>
    <w:p w14:paraId="25DFDB00" w14:textId="77777777" w:rsidR="000566CC" w:rsidRDefault="002177CF">
      <w:pPr>
        <w:pStyle w:val="BodyText"/>
      </w:pPr>
      <w:r>
        <w:t xml:space="preserve">VDE-TER has not yet been tested on a ship, although it has been tested in an open air enviroment with 40m sepration between whip antennas and using an output power of 1W. In this case, a S-124 navigational warning was injected into the MMS Router network using an DMC edge router located in Sweden and received by a MMS Proxy Shore unit in Aalborg which then relayed the warning through a Saab R60 to a Saab R6. A MMS Proxy Ship connected to the R6 received the navigational warning, which in turn relayed it to a OpenCPN that had been </w:t>
      </w:r>
      <w:r>
        <w:lastRenderedPageBreak/>
        <w:t xml:space="preserve">extended with two plugins; a plugin that implements a MMS Agent that receives the warning and a plugin that interpretted the S-124 navigational warning and displayed in OpenCPN as seen in Figure </w:t>
      </w:r>
      <w:r>
        <w:fldChar w:fldCharType="begin"/>
      </w:r>
      <w:r>
        <w:instrText xml:space="preserve"> REF Ref_Figure3_number_only \h </w:instrText>
      </w:r>
      <w:r>
        <w:fldChar w:fldCharType="separate"/>
      </w:r>
      <w:r>
        <w:t>3</w:t>
      </w:r>
      <w:r>
        <w:fldChar w:fldCharType="end"/>
      </w:r>
      <w:r>
        <w:t>.</w:t>
      </w:r>
    </w:p>
    <w:p w14:paraId="25DFDB01" w14:textId="77777777" w:rsidR="000566CC" w:rsidRDefault="000566CC">
      <w:pPr>
        <w:pStyle w:val="BodyText"/>
      </w:pPr>
    </w:p>
    <w:p w14:paraId="25DFDB02" w14:textId="705D5F63" w:rsidR="000566CC" w:rsidRDefault="0043674F">
      <w:pPr>
        <w:pStyle w:val="BodyText"/>
      </w:pPr>
      <w:r>
        <w:rPr>
          <w:noProof/>
        </w:rPr>
        <w:pict w14:anchorId="6832FF96">
          <v:rect id="Frame4" o:spid="_x0000_s1051" style="position:absolute;left:0;text-align:left;margin-left:0;margin-top:.05pt;width:498.6pt;height:342.2pt;z-index:251646976;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" o:allowincell="f" stroked="f" strokeweight="0">
            <v:textbox inset="0,0,0,0">
              <w:txbxContent>
                <w:p w14:paraId="25DFDCF0" w14:textId="77777777" w:rsidR="000566CC" w:rsidRDefault="002177CF">
                  <w:pPr>
                    <w:pStyle w:val="Figure0"/>
                  </w:pPr>
                  <w:r>
                    <w:rPr>
                      <w:noProof/>
                    </w:rPr>
                    <w:drawing>
                      <wp:inline distT="0" distB="0" distL="0" distR="0" wp14:anchorId="25DFDCF6" wp14:editId="25DFDCF7">
                        <wp:extent cx="6332220" cy="4020820"/>
                        <wp:effectExtent l="0" t="0" r="0" b="0"/>
                        <wp:docPr id="6"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13"/>
                                <a:stretch>
                                  <a:fillRect/>
                                </a:stretch>
                              </pic:blipFill>
                              <pic:spPr bwMode="auto">
                                <a:xfrm>
                                  <a:off x="0" y="0"/>
                                  <a:ext cx="6332220" cy="4020820"/>
                                </a:xfrm>
                                <a:prstGeom prst="rect">
                                  <a:avLst/>
                                </a:prstGeom>
                                <a:noFill/>
                              </pic:spPr>
                            </pic:pic>
                          </a:graphicData>
                        </a:graphic>
                      </wp:inline>
                    </w:drawing>
                  </w:r>
                  <w:r>
                    <w:t xml:space="preserve">Figure </w:t>
                  </w:r>
                  <w:bookmarkStart w:id="1" w:name="Ref_Figure3_number_only"/>
                  <w:r>
                    <w:fldChar w:fldCharType="begin"/>
                  </w:r>
                  <w:r>
                    <w:instrText xml:space="preserve"> SEQ Figure \* ARABIC </w:instrText>
                  </w:r>
                  <w:r>
                    <w:fldChar w:fldCharType="separate"/>
                  </w:r>
                  <w:r>
                    <w:t>3</w:t>
                  </w:r>
                  <w:r>
                    <w:fldChar w:fldCharType="end"/>
                  </w:r>
                  <w:bookmarkEnd w:id="1"/>
                  <w:r>
                    <w:t>: A navigational warning received via VDE-TER. The magenta circle with "NW" represents the position of the warning</w:t>
                  </w:r>
                </w:p>
              </w:txbxContent>
            </v:textbox>
            <w10:wrap type="square" side="largest"/>
          </v:rect>
        </w:pict>
      </w:r>
      <w:r w:rsidR="002177CF">
        <w:t>Furthermore, VDE-TER has bas been tested as part of the VOOST project and the test report can be seen in Annex 1.</w:t>
      </w:r>
    </w:p>
    <w:p w14:paraId="25DFDB03" w14:textId="77777777" w:rsidR="000566CC" w:rsidRDefault="000566CC">
      <w:pPr>
        <w:pStyle w:val="BodyText"/>
      </w:pPr>
    </w:p>
    <w:p w14:paraId="25DFDB04" w14:textId="77777777" w:rsidR="000566CC" w:rsidRDefault="002177CF">
      <w:pPr>
        <w:pStyle w:val="Heading2"/>
      </w:pPr>
      <w:r>
        <w:t>VDE-SAT</w:t>
      </w:r>
    </w:p>
    <w:p w14:paraId="25DFDB05" w14:textId="77777777" w:rsidR="000566CC" w:rsidRDefault="002177CF">
      <w:pPr>
        <w:pStyle w:val="BodyText"/>
      </w:pPr>
      <w:r>
        <w:t>As part of an ongoing effort to test various VDES satellites, and verify interoperability, the YMIR-1 satellite (Norad ID: AAC-AIS-SAT3), launched by the AOS consortium, has been sending S-124 navigational warnings over Scandinavia. These have been received on both land based listening stations, but also by all three ships that are currently operating within the MaDaMe test bed.</w:t>
      </w:r>
    </w:p>
    <w:p w14:paraId="25DFDB06" w14:textId="77777777" w:rsidR="000566CC" w:rsidRDefault="002177CF">
      <w:pPr>
        <w:pStyle w:val="Heading1"/>
      </w:pPr>
      <w:r>
        <w:t>Future work</w:t>
      </w:r>
    </w:p>
    <w:p w14:paraId="25DFDB07" w14:textId="77777777" w:rsidR="000566CC" w:rsidRDefault="002177CF">
      <w:pPr>
        <w:pStyle w:val="BodyText"/>
      </w:pPr>
      <w:r>
        <w:t>Sternula and S3C are collaborating on integrating the VDES1000 with the MMS Proxy Shore</w:t>
      </w:r>
    </w:p>
    <w:p w14:paraId="25DFDB08" w14:textId="77777777" w:rsidR="000566CC" w:rsidRDefault="002177CF">
      <w:pPr>
        <w:pStyle w:val="BodyText"/>
      </w:pPr>
      <w:r>
        <w:t>to show multi vendor interoperability when using VDE-TER to communicate using MMS. iStorm/Comesta are collaborating with AIVeNautics to connect their VDES systems, K-VMS, to MMS router network. Once they are ready, message exchange among VDES systems from different manufactures such as Saab, S3C and iStorm/Comesta via MMS network can be tested.</w:t>
      </w:r>
    </w:p>
    <w:p w14:paraId="25DFDB09" w14:textId="77777777" w:rsidR="000566CC" w:rsidRDefault="000566CC">
      <w:pPr>
        <w:pStyle w:val="BodyText"/>
      </w:pPr>
    </w:p>
    <w:p w14:paraId="25DFDB0A" w14:textId="77777777" w:rsidR="000566CC" w:rsidRDefault="002177CF">
      <w:pPr>
        <w:pStyle w:val="Heading1"/>
      </w:pPr>
      <w:r>
        <w:lastRenderedPageBreak/>
        <w:t>References</w:t>
      </w:r>
    </w:p>
    <w:p w14:paraId="25DFDB0B" w14:textId="77777777" w:rsidR="000566CC" w:rsidRDefault="002177CF">
      <w:pPr>
        <w:pStyle w:val="Reference"/>
      </w:pPr>
      <w:r>
        <w:t>MaDaMe web page: https://interreg-baltic.eu/project/madame/</w:t>
      </w:r>
    </w:p>
    <w:p w14:paraId="25DFDB0C" w14:textId="77777777" w:rsidR="000566CC" w:rsidRDefault="002177CF">
      <w:pPr>
        <w:pStyle w:val="Reference"/>
      </w:pPr>
      <w:r>
        <w:t>Open source reference implementation of MMS: https://github.com/maritimeconnectivity/MMS</w:t>
      </w:r>
    </w:p>
    <w:p w14:paraId="25DFDB0D" w14:textId="77777777" w:rsidR="000566CC" w:rsidRDefault="002177CF">
      <w:pPr>
        <w:pStyle w:val="Reference"/>
        <w:rPr>
          <w:lang w:eastAsia="de-DE"/>
        </w:rPr>
      </w:pPr>
      <w:r>
        <w:rPr>
          <w:lang w:eastAsia="de-DE"/>
        </w:rPr>
        <w:t>VOOST web page: https://www.aivenautics.com/projects/voost/</w:t>
      </w:r>
    </w:p>
    <w:p w14:paraId="25DFDB0E" w14:textId="77777777" w:rsidR="000566CC" w:rsidRDefault="002177CF">
      <w:pPr>
        <w:pStyle w:val="Heading1"/>
      </w:pPr>
      <w:r>
        <w:t>Action requested of the Committee</w:t>
      </w:r>
    </w:p>
    <w:p w14:paraId="25DFDB0F" w14:textId="77777777" w:rsidR="000566CC" w:rsidRDefault="002177CF">
      <w:pPr>
        <w:pStyle w:val="BodyText"/>
        <w:sectPr w:rsidR="000566CC">
          <w:headerReference w:type="even" r:id="rId14"/>
          <w:headerReference w:type="default" r:id="rId15"/>
          <w:footerReference w:type="even" r:id="rId16"/>
          <w:footerReference w:type="default" r:id="rId17"/>
          <w:headerReference w:type="first" r:id="rId18"/>
          <w:footerReference w:type="first" r:id="rId19"/>
          <w:pgSz w:w="11906" w:h="16838"/>
          <w:pgMar w:top="1733" w:right="794" w:bottom="668" w:left="907" w:header="564" w:footer="611" w:gutter="0"/>
          <w:cols w:space="720"/>
          <w:formProt w:val="0"/>
          <w:titlePg/>
          <w:docGrid w:linePitch="360"/>
        </w:sectPr>
      </w:pPr>
      <w:r>
        <w:t>The members of the committee is requested to note the information.</w:t>
      </w:r>
      <w:r>
        <w:br w:type="page"/>
      </w:r>
    </w:p>
    <w:p w14:paraId="25DFDB10" w14:textId="77777777" w:rsidR="000566CC" w:rsidRDefault="000566CC">
      <w:pPr>
        <w:pStyle w:val="normal1"/>
        <w:spacing w:line="276" w:lineRule="auto"/>
        <w:rPr>
          <w:rFonts w:ascii="Liberation Serif" w:eastAsia="Liberation Serif" w:hAnsi="Liberation Serif" w:cs="Liberation Serif"/>
          <w:color w:val="000000"/>
          <w:sz w:val="24"/>
          <w:szCs w:val="24"/>
        </w:rPr>
      </w:pPr>
    </w:p>
    <w:p w14:paraId="25DFDB11" w14:textId="77777777" w:rsidR="000566CC" w:rsidRDefault="000566CC">
      <w:pPr>
        <w:pStyle w:val="normal1"/>
        <w:rPr>
          <w:rFonts w:ascii="Liberation Serif" w:eastAsia="Liberation Serif" w:hAnsi="Liberation Serif" w:cs="Liberation Serif"/>
          <w:color w:val="000000"/>
          <w:sz w:val="24"/>
          <w:szCs w:val="24"/>
        </w:rPr>
      </w:pPr>
    </w:p>
    <w:p w14:paraId="25DFDB12" w14:textId="77777777" w:rsidR="000566CC" w:rsidRDefault="002177CF">
      <w:pPr>
        <w:pStyle w:val="normal1"/>
        <w:jc w:val="center"/>
        <w:rPr>
          <w:rFonts w:ascii="Liberation Serif" w:eastAsia="Liberation Serif" w:hAnsi="Liberation Serif" w:cs="Liberation Serif"/>
          <w:color w:val="000000"/>
          <w:sz w:val="44"/>
          <w:szCs w:val="44"/>
        </w:rPr>
      </w:pPr>
      <w:r>
        <w:rPr>
          <w:rFonts w:ascii="Liberation Serif" w:eastAsia="Liberation Serif" w:hAnsi="Liberation Serif" w:cs="Liberation Serif"/>
          <w:color w:val="000000"/>
          <w:sz w:val="44"/>
          <w:szCs w:val="44"/>
        </w:rPr>
        <w:t>Annex A</w:t>
      </w:r>
    </w:p>
    <w:p w14:paraId="25DFDB13" w14:textId="77777777" w:rsidR="000566CC" w:rsidRDefault="002177CF">
      <w:pPr>
        <w:pStyle w:val="normal1"/>
        <w:jc w:val="center"/>
        <w:rPr>
          <w:rFonts w:ascii="Liberation Serif" w:eastAsia="Liberation Serif" w:hAnsi="Liberation Serif" w:cs="Liberation Serif"/>
          <w:color w:val="000000"/>
          <w:sz w:val="44"/>
          <w:szCs w:val="44"/>
        </w:rPr>
      </w:pPr>
      <w:r>
        <w:rPr>
          <w:rFonts w:ascii="Liberation Serif" w:eastAsia="Liberation Serif" w:hAnsi="Liberation Serif" w:cs="Liberation Serif"/>
          <w:color w:val="000000"/>
          <w:sz w:val="44"/>
          <w:szCs w:val="44"/>
        </w:rPr>
        <w:t>Test Report</w:t>
      </w:r>
    </w:p>
    <w:p w14:paraId="25DFDB14" w14:textId="77777777" w:rsidR="000566CC" w:rsidRDefault="002177CF">
      <w:pPr>
        <w:pStyle w:val="normal1"/>
        <w:jc w:val="center"/>
        <w:rPr>
          <w:rFonts w:ascii="Liberation Serif" w:eastAsia="Liberation Serif" w:hAnsi="Liberation Serif" w:cs="Liberation Serif"/>
          <w:color w:val="000000"/>
          <w:sz w:val="44"/>
          <w:szCs w:val="44"/>
        </w:rPr>
      </w:pPr>
      <w:r>
        <w:rPr>
          <w:rFonts w:ascii="Liberation Serif" w:eastAsia="Liberation Serif" w:hAnsi="Liberation Serif" w:cs="Liberation Serif"/>
          <w:color w:val="000000"/>
          <w:sz w:val="44"/>
          <w:szCs w:val="44"/>
        </w:rPr>
        <w:t>for</w:t>
      </w:r>
    </w:p>
    <w:p w14:paraId="25DFDB15" w14:textId="77777777" w:rsidR="000566CC" w:rsidRDefault="002177CF">
      <w:pPr>
        <w:pStyle w:val="normal1"/>
        <w:jc w:val="center"/>
        <w:rPr>
          <w:rFonts w:ascii="Liberation Serif" w:eastAsia="Liberation Serif" w:hAnsi="Liberation Serif" w:cs="Liberation Serif"/>
          <w:color w:val="000000"/>
          <w:sz w:val="44"/>
          <w:szCs w:val="44"/>
        </w:rPr>
      </w:pPr>
      <w:r>
        <w:rPr>
          <w:rFonts w:ascii="Liberation Serif" w:eastAsia="Liberation Serif" w:hAnsi="Liberation Serif" w:cs="Liberation Serif"/>
          <w:color w:val="000000"/>
          <w:sz w:val="44"/>
          <w:szCs w:val="44"/>
        </w:rPr>
        <w:t>VDES Integration Testing</w:t>
      </w:r>
    </w:p>
    <w:p w14:paraId="25DFDB16" w14:textId="77777777" w:rsidR="000566CC" w:rsidRDefault="002177CF">
      <w:pPr>
        <w:pStyle w:val="normal1"/>
        <w:jc w:val="center"/>
        <w:rPr>
          <w:rFonts w:ascii="Liberation Serif" w:eastAsia="Liberation Serif" w:hAnsi="Liberation Serif" w:cs="Liberation Serif"/>
          <w:color w:val="000000"/>
          <w:sz w:val="44"/>
          <w:szCs w:val="44"/>
        </w:rPr>
      </w:pPr>
      <w:r>
        <w:rPr>
          <w:rFonts w:ascii="Liberation Serif" w:eastAsia="Liberation Serif" w:hAnsi="Liberation Serif" w:cs="Liberation Serif"/>
          <w:color w:val="000000"/>
          <w:sz w:val="44"/>
          <w:szCs w:val="44"/>
        </w:rPr>
        <w:t>in the VOOST project</w:t>
      </w:r>
    </w:p>
    <w:p w14:paraId="25DFDB17" w14:textId="77777777" w:rsidR="000566CC" w:rsidRDefault="000566CC">
      <w:pPr>
        <w:pStyle w:val="normal1"/>
        <w:rPr>
          <w:rFonts w:ascii="Liberation Serif" w:eastAsia="Liberation Serif" w:hAnsi="Liberation Serif" w:cs="Liberation Serif"/>
          <w:color w:val="000000"/>
          <w:sz w:val="24"/>
          <w:szCs w:val="24"/>
        </w:rPr>
      </w:pPr>
    </w:p>
    <w:p w14:paraId="25DFDB18" w14:textId="77777777" w:rsidR="000566CC" w:rsidRDefault="000566CC">
      <w:pPr>
        <w:pStyle w:val="normal1"/>
        <w:jc w:val="center"/>
        <w:rPr>
          <w:rFonts w:ascii="Liberation Serif" w:eastAsia="Liberation Serif" w:hAnsi="Liberation Serif" w:cs="Liberation Serif"/>
          <w:color w:val="000000"/>
          <w:sz w:val="24"/>
          <w:szCs w:val="24"/>
        </w:rPr>
      </w:pPr>
    </w:p>
    <w:p w14:paraId="25DFDB19" w14:textId="77777777" w:rsidR="000566CC" w:rsidRDefault="000566CC">
      <w:pPr>
        <w:pStyle w:val="normal1"/>
        <w:rPr>
          <w:rFonts w:ascii="Liberation Serif" w:eastAsia="Liberation Serif" w:hAnsi="Liberation Serif" w:cs="Liberation Serif"/>
          <w:color w:val="000000"/>
          <w:sz w:val="24"/>
          <w:szCs w:val="24"/>
        </w:rPr>
      </w:pPr>
    </w:p>
    <w:p w14:paraId="25DFDB1A" w14:textId="77777777" w:rsidR="000566CC" w:rsidRDefault="000566CC">
      <w:pPr>
        <w:pStyle w:val="normal1"/>
        <w:rPr>
          <w:rFonts w:ascii="Liberation Serif" w:eastAsia="Liberation Serif" w:hAnsi="Liberation Serif" w:cs="Liberation Serif"/>
          <w:color w:val="000000"/>
          <w:sz w:val="24"/>
          <w:szCs w:val="24"/>
        </w:rPr>
      </w:pPr>
    </w:p>
    <w:p w14:paraId="25DFDB1B" w14:textId="77777777" w:rsidR="000566CC" w:rsidRDefault="000566CC">
      <w:pPr>
        <w:pStyle w:val="normal1"/>
        <w:rPr>
          <w:rFonts w:ascii="Liberation Serif" w:eastAsia="Liberation Serif" w:hAnsi="Liberation Serif" w:cs="Liberation Serif"/>
          <w:color w:val="000000"/>
          <w:sz w:val="24"/>
          <w:szCs w:val="24"/>
        </w:rPr>
      </w:pPr>
    </w:p>
    <w:p w14:paraId="25DFDB1C" w14:textId="77777777" w:rsidR="000566CC" w:rsidRDefault="002177CF">
      <w:pPr>
        <w:pStyle w:val="Heading1"/>
        <w:numPr>
          <w:ilvl w:val="0"/>
          <w:numId w:val="27"/>
        </w:numPr>
        <w:ind w:left="432" w:hanging="432"/>
      </w:pPr>
      <w:r>
        <w:t>General</w:t>
      </w:r>
    </w:p>
    <w:p w14:paraId="25DFDB1D" w14:textId="77777777" w:rsidR="000566CC" w:rsidRDefault="002177CF">
      <w:pPr>
        <w:pStyle w:val="Heading2"/>
        <w:ind w:left="576" w:right="0" w:hanging="576"/>
      </w:pPr>
      <w:r>
        <w:t>Excecutive Summary</w:t>
      </w:r>
    </w:p>
    <w:p w14:paraId="25DFDB1E"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Phase 1 of the VOOST VDES integration test showed a successful proof of concept of the </w:t>
      </w:r>
      <w:sdt>
        <w:sdtPr>
          <w:tag w:val="goog_rdk_0"/>
          <w:id w:val="1522969314"/>
        </w:sdtPr>
        <w:sdtEndPr/>
        <w:sdtContent>
          <w:r>
            <w:rPr>
              <w:rFonts w:ascii="Liberation Serif" w:eastAsia="Liberation Serif" w:hAnsi="Liberation Serif" w:cs="Liberation Serif"/>
              <w:color w:val="000000"/>
              <w:sz w:val="24"/>
              <w:szCs w:val="24"/>
            </w:rPr>
            <w:t xml:space="preserve">subscribe mechanism in the </w:t>
          </w:r>
        </w:sdtContent>
      </w:sdt>
      <w:r>
        <w:rPr>
          <w:rFonts w:ascii="Liberation Serif" w:eastAsia="Liberation Serif" w:hAnsi="Liberation Serif" w:cs="Liberation Serif"/>
          <w:color w:val="000000"/>
          <w:sz w:val="24"/>
          <w:szCs w:val="24"/>
        </w:rPr>
        <w:t>MMS architecture.</w:t>
      </w:r>
    </w:p>
    <w:p w14:paraId="25DFDB1F"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Involved in the test was the AIVeNautics and Sternula provided subsystems, in a VDES lab setup at Sternula’s premises in Denmark.</w:t>
      </w:r>
    </w:p>
    <w:p w14:paraId="25DFDB20" w14:textId="77777777" w:rsidR="000566CC" w:rsidRDefault="002177CF">
      <w:pPr>
        <w:pStyle w:val="normal1"/>
        <w:spacing w:after="140" w:line="288" w:lineRule="auto"/>
        <w:rPr>
          <w:rFonts w:ascii="Liberation Serif" w:eastAsia="Liberation Serif" w:hAnsi="Liberation Serif" w:cs="Liberation Serif"/>
          <w:color w:val="FF0000"/>
          <w:sz w:val="24"/>
          <w:szCs w:val="24"/>
        </w:rPr>
      </w:pPr>
      <w:r>
        <w:rPr>
          <w:rFonts w:ascii="Liberation Serif" w:eastAsia="Liberation Serif" w:hAnsi="Liberation Serif" w:cs="Liberation Serif"/>
          <w:color w:val="000000"/>
          <w:sz w:val="24"/>
          <w:szCs w:val="24"/>
        </w:rPr>
        <w:t>The VDES shore and ship equipment was connected via the AIVeNautics global MMS routing system, to a</w:t>
      </w:r>
      <w:sdt>
        <w:sdtPr>
          <w:tag w:val="goog_rdk_1"/>
          <w:id w:val="285009597"/>
        </w:sdtPr>
        <w:sdtEndPr/>
        <w:sdtContent>
          <w:r>
            <w:rPr>
              <w:rFonts w:ascii="Liberation Serif" w:eastAsia="Liberation Serif" w:hAnsi="Liberation Serif" w:cs="Liberation Serif"/>
              <w:color w:val="000000"/>
              <w:sz w:val="24"/>
              <w:szCs w:val="24"/>
            </w:rPr>
            <w:t>n</w:t>
          </w:r>
        </w:sdtContent>
      </w:sdt>
      <w:r>
        <w:rPr>
          <w:rFonts w:ascii="Liberation Serif" w:eastAsia="Liberation Serif" w:hAnsi="Liberation Serif" w:cs="Liberation Serif"/>
          <w:color w:val="000000"/>
          <w:sz w:val="24"/>
          <w:szCs w:val="24"/>
        </w:rPr>
        <w:t xml:space="preserve"> ODI S-124 Navigational Warnings service, provided over [SECOM] services from the ODI</w:t>
      </w:r>
      <w:r>
        <w:rPr>
          <w:rFonts w:ascii="Liberation Serif" w:eastAsia="Liberation Serif" w:hAnsi="Liberation Serif" w:cs="Liberation Serif"/>
          <w:color w:val="FF0000"/>
          <w:sz w:val="24"/>
          <w:szCs w:val="24"/>
        </w:rPr>
        <w:t xml:space="preserve">, </w:t>
      </w:r>
      <w:sdt>
        <w:sdtPr>
          <w:tag w:val="goog_rdk_2"/>
          <w:id w:val="1436936790"/>
        </w:sdtPr>
        <w:sdtEndPr/>
        <w:sdtContent/>
      </w:sdt>
      <w:r>
        <w:rPr>
          <w:rFonts w:ascii="Liberation Serif" w:eastAsia="Liberation Serif" w:hAnsi="Liberation Serif" w:cs="Liberation Serif"/>
          <w:color w:val="FF0000"/>
          <w:sz w:val="24"/>
          <w:szCs w:val="24"/>
        </w:rPr>
        <w:t>displayed on a simulated ECDIS from NavSim.</w:t>
      </w:r>
    </w:p>
    <w:p w14:paraId="25DFDB21" w14:textId="77777777" w:rsidR="000566CC" w:rsidRDefault="002177CF">
      <w:pPr>
        <w:pStyle w:val="Heading2"/>
        <w:ind w:left="576" w:right="0" w:hanging="576"/>
      </w:pPr>
      <w:r>
        <w:t>History</w:t>
      </w:r>
    </w:p>
    <w:p w14:paraId="25DFDB22" w14:textId="77777777" w:rsidR="000566CC" w:rsidRDefault="000566CC">
      <w:pPr>
        <w:pStyle w:val="normal1"/>
        <w:spacing w:after="140" w:line="288" w:lineRule="auto"/>
        <w:rPr>
          <w:rFonts w:ascii="Liberation Serif" w:eastAsia="Liberation Serif" w:hAnsi="Liberation Serif" w:cs="Liberation Serif"/>
          <w:color w:val="000000"/>
          <w:sz w:val="24"/>
          <w:szCs w:val="24"/>
        </w:rPr>
      </w:pPr>
    </w:p>
    <w:p w14:paraId="25DFDB23" w14:textId="77777777" w:rsidR="000566CC" w:rsidRDefault="002177CF">
      <w:pPr>
        <w:pStyle w:val="Heading2"/>
        <w:ind w:left="576" w:right="0" w:hanging="576"/>
      </w:pPr>
      <w:r>
        <w:t>References</w:t>
      </w:r>
    </w:p>
    <w:p w14:paraId="25DFDB24" w14:textId="43C19CB2" w:rsidR="000566CC" w:rsidRDefault="002177CF">
      <w:pPr>
        <w:pStyle w:val="normal1"/>
        <w:spacing w:after="140" w:line="288" w:lineRule="auto"/>
        <w:rPr>
          <w:rFonts w:ascii="Liberation Serif" w:eastAsia="Liberation Serif" w:hAnsi="Liberation Serif" w:cs="Liberation Serif"/>
          <w:color w:val="000000"/>
          <w:sz w:val="24"/>
          <w:szCs w:val="24"/>
        </w:rPr>
      </w:pPr>
      <w:bookmarkStart w:id="2" w:name="_heading=h.30j0zll"/>
      <w:bookmarkEnd w:id="2"/>
      <w:r>
        <w:rPr>
          <w:rFonts w:ascii="Liberation Serif" w:eastAsia="Liberation Serif" w:hAnsi="Liberation Serif" w:cs="Liberation Serif"/>
          <w:color w:val="000000"/>
          <w:sz w:val="24"/>
          <w:szCs w:val="24"/>
        </w:rPr>
        <w:t>[G-VDES-M]</w:t>
      </w:r>
      <w:r>
        <w:rPr>
          <w:rFonts w:ascii="Liberation Serif" w:eastAsia="Liberation Serif" w:hAnsi="Liberation Serif" w:cs="Liberation Serif"/>
          <w:color w:val="000000"/>
          <w:sz w:val="24"/>
          <w:szCs w:val="24"/>
        </w:rPr>
        <w:tab/>
        <w:t xml:space="preserve">Draft IALA Guideline on VDES measurements </w:t>
      </w:r>
      <w:r w:rsidR="0043674F">
        <w:rPr>
          <w:noProof/>
        </w:rPr>
        <w:pict w14:anchorId="3011D9B7">
          <v:rect id="_x0000_tole_rId15" o:spid="_x0000_s1050" style="position:absolute;margin-left:0;margin-top:.05pt;width:50pt;height:50pt;z-index:2516674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" filled="f" stroked="f" strokeweight="0"/>
        </w:pict>
      </w:r>
      <w:r>
        <w:object w:dxaOrig="1828" w:dyaOrig="1181" w14:anchorId="25DFDC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5" o:spid="_x0000_i1025" type="#_x0000_t75" style="width:91.5pt;height:59.15pt;visibility:visible;mso-wrap-distance-right:0;mso-wrap-distance-bottom:7pt" o:ole="">
            <v:imagedata r:id="rId20" o:title=""/>
          </v:shape>
          <o:OLEObject Type="Embed" ProgID="Word.Document.12" ShapeID="ole_rId15" DrawAspect="Icon" ObjectID="_1802887066" r:id="rId21"/>
        </w:object>
      </w:r>
    </w:p>
    <w:p w14:paraId="25DFDB25" w14:textId="455F9D99"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[MMS]</w:t>
      </w:r>
      <w:r>
        <w:rPr>
          <w:rFonts w:ascii="Liberation Serif" w:eastAsia="Liberation Serif" w:hAnsi="Liberation Serif" w:cs="Liberation Serif"/>
          <w:color w:val="000000"/>
          <w:sz w:val="24"/>
          <w:szCs w:val="24"/>
        </w:rPr>
        <w:tab/>
        <w:t xml:space="preserve">Draft MMS Standard from RTCM SC139 as of 2024-12-04 </w:t>
      </w:r>
      <w:r w:rsidR="0043674F">
        <w:rPr>
          <w:noProof/>
        </w:rPr>
        <w:pict w14:anchorId="1A525CAB">
          <v:rect id="_x0000_tole_rId17" o:spid="_x0000_s1049" style="position:absolute;margin-left:0;margin-top:.05pt;width:50pt;height:50pt;z-index:2516684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" filled="f" stroked="f" strokeweight="0"/>
        </w:pict>
      </w:r>
      <w:r>
        <w:object w:dxaOrig="1440" w:dyaOrig="1052" w14:anchorId="25DFDC54">
          <v:shape id="ole_rId17" o:spid="_x0000_i1026" type="#_x0000_t75" style="width:1in;height:52.5pt;visibility:visible;mso-wrap-distance-right:0;mso-wrap-distance-bottom:7pt" o:ole="">
            <v:imagedata r:id="rId22" o:title=""/>
          </v:shape>
          <o:OLEObject Type="Embed" ProgID="Acrobat.Document.DC" ShapeID="ole_rId17" DrawAspect="Icon" ObjectID="_1802887067" r:id="rId23"/>
        </w:object>
      </w:r>
    </w:p>
    <w:p w14:paraId="25DFDB26"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[SECOM]</w:t>
      </w:r>
      <w:r>
        <w:rPr>
          <w:rFonts w:ascii="Liberation Serif" w:eastAsia="Liberation Serif" w:hAnsi="Liberation Serif" w:cs="Liberation Serif"/>
          <w:color w:val="000000"/>
          <w:sz w:val="24"/>
          <w:szCs w:val="24"/>
        </w:rPr>
        <w:tab/>
        <w:t xml:space="preserve">IEC63173-2 Maritime navigation and radiocommunication equipment and systems - </w:t>
      </w:r>
      <w:r>
        <w:rPr>
          <w:rFonts w:ascii="Liberation Serif" w:eastAsia="Liberation Serif" w:hAnsi="Liberation Serif" w:cs="Liberation Serif"/>
          <w:color w:val="000000"/>
          <w:sz w:val="24"/>
          <w:szCs w:val="24"/>
        </w:rPr>
        <w:br/>
        <w:t>Data interfaces - Part 2: Secure communication between ship and shore (SECOM)</w:t>
      </w:r>
    </w:p>
    <w:p w14:paraId="25DFDB27"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[Niord]</w:t>
      </w:r>
      <w:r>
        <w:rPr>
          <w:rFonts w:ascii="Liberation Serif" w:eastAsia="Liberation Serif" w:hAnsi="Liberation Serif" w:cs="Liberation Serif"/>
          <w:color w:val="000000"/>
          <w:sz w:val="24"/>
          <w:szCs w:val="24"/>
        </w:rPr>
        <w:tab/>
        <w:t xml:space="preserve">Open Source Nautical Information Directory, see </w:t>
      </w:r>
      <w:hyperlink r:id="rId24">
        <w:r>
          <w:rPr>
            <w:rFonts w:ascii="Liberation Serif" w:eastAsia="Liberation Serif" w:hAnsi="Liberation Serif" w:cs="Liberation Serif"/>
            <w:color w:val="467886"/>
            <w:sz w:val="24"/>
            <w:szCs w:val="24"/>
            <w:u w:val="single"/>
          </w:rPr>
          <w:t>https://niord.org</w:t>
        </w:r>
      </w:hyperlink>
    </w:p>
    <w:p w14:paraId="25DFDB28"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[VDES]</w:t>
      </w:r>
      <w:r>
        <w:rPr>
          <w:rFonts w:ascii="Liberation Serif" w:eastAsia="Liberation Serif" w:hAnsi="Liberation Serif" w:cs="Liberation Serif"/>
          <w:color w:val="000000"/>
          <w:sz w:val="24"/>
          <w:szCs w:val="24"/>
        </w:rPr>
        <w:tab/>
        <w:t>ITU Recommendation ITU-R M.2092-1, Technical characteristics for a VHF data</w:t>
      </w:r>
      <w:r>
        <w:rPr>
          <w:rFonts w:ascii="Liberation Serif" w:eastAsia="Liberation Serif" w:hAnsi="Liberation Serif" w:cs="Liberation Serif"/>
          <w:color w:val="000000"/>
          <w:sz w:val="24"/>
          <w:szCs w:val="24"/>
        </w:rPr>
        <w:br/>
        <w:t>exchange system in the VHF maritime mobile band</w:t>
      </w:r>
    </w:p>
    <w:p w14:paraId="25DFDB29" w14:textId="77777777" w:rsidR="000566CC" w:rsidRDefault="002177CF">
      <w:pPr>
        <w:pStyle w:val="Heading2"/>
        <w:ind w:left="576" w:right="0" w:hanging="576"/>
      </w:pPr>
      <w:r>
        <w:t>Glossary</w:t>
      </w:r>
    </w:p>
    <w:p w14:paraId="25DFDB2A"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VDES</w:t>
      </w:r>
      <w:r>
        <w:rPr>
          <w:rFonts w:ascii="Liberation Serif" w:eastAsia="Liberation Serif" w:hAnsi="Liberation Serif" w:cs="Liberation Serif"/>
          <w:color w:val="000000"/>
          <w:sz w:val="24"/>
          <w:szCs w:val="24"/>
        </w:rPr>
        <w:tab/>
      </w:r>
      <w:r>
        <w:rPr>
          <w:rFonts w:ascii="Liberation Serif" w:eastAsia="Liberation Serif" w:hAnsi="Liberation Serif" w:cs="Liberation Serif"/>
          <w:color w:val="000000"/>
          <w:sz w:val="24"/>
          <w:szCs w:val="24"/>
        </w:rPr>
        <w:tab/>
        <w:t>VHF Data Exchange</w:t>
      </w:r>
    </w:p>
    <w:p w14:paraId="25DFDB2B"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MCP</w:t>
      </w:r>
      <w:r>
        <w:rPr>
          <w:rFonts w:ascii="Liberation Serif" w:eastAsia="Liberation Serif" w:hAnsi="Liberation Serif" w:cs="Liberation Serif"/>
          <w:color w:val="000000"/>
          <w:sz w:val="24"/>
          <w:szCs w:val="24"/>
        </w:rPr>
        <w:tab/>
      </w:r>
      <w:r>
        <w:rPr>
          <w:rFonts w:ascii="Liberation Serif" w:eastAsia="Liberation Serif" w:hAnsi="Liberation Serif" w:cs="Liberation Serif"/>
          <w:color w:val="000000"/>
          <w:sz w:val="24"/>
          <w:szCs w:val="24"/>
        </w:rPr>
        <w:tab/>
        <w:t xml:space="preserve">Maritime Connectivity Platform, see </w:t>
      </w:r>
      <w:hyperlink r:id="rId25">
        <w:r>
          <w:rPr>
            <w:rFonts w:ascii="Liberation Serif" w:eastAsia="Liberation Serif" w:hAnsi="Liberation Serif" w:cs="Liberation Serif"/>
            <w:color w:val="467886"/>
            <w:sz w:val="24"/>
            <w:szCs w:val="24"/>
            <w:u w:val="single"/>
          </w:rPr>
          <w:t>https://maritimeconnectivity.net</w:t>
        </w:r>
      </w:hyperlink>
    </w:p>
    <w:p w14:paraId="25DFDB2C"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MCP-PD</w:t>
      </w:r>
      <w:r>
        <w:rPr>
          <w:rFonts w:ascii="Liberation Serif" w:eastAsia="Liberation Serif" w:hAnsi="Liberation Serif" w:cs="Liberation Serif"/>
          <w:color w:val="000000"/>
          <w:sz w:val="24"/>
          <w:szCs w:val="24"/>
        </w:rPr>
        <w:tab/>
        <w:t>MCP Public Demonstrator, a platform of MSR and MIR publicly available for tests</w:t>
      </w:r>
    </w:p>
    <w:p w14:paraId="25DFDB2D"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MIR</w:t>
      </w:r>
      <w:r>
        <w:rPr>
          <w:rFonts w:ascii="Liberation Serif" w:eastAsia="Liberation Serif" w:hAnsi="Liberation Serif" w:cs="Liberation Serif"/>
          <w:color w:val="000000"/>
          <w:sz w:val="24"/>
          <w:szCs w:val="24"/>
        </w:rPr>
        <w:tab/>
        <w:t xml:space="preserve">Maritime Identity Registry, see </w:t>
      </w:r>
      <w:r>
        <w:rPr>
          <w:rFonts w:ascii="Liberation Serif" w:eastAsia="Liberation Serif" w:hAnsi="Liberation Serif" w:cs="Liberation Serif"/>
          <w:color w:val="467886"/>
          <w:sz w:val="24"/>
          <w:szCs w:val="24"/>
          <w:u w:val="single"/>
        </w:rPr>
        <w:t>https://maritimeconnectivity.net/mcp-documents#MIR</w:t>
      </w:r>
    </w:p>
    <w:p w14:paraId="25DFDB2E"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MMS</w:t>
      </w:r>
      <w:r>
        <w:rPr>
          <w:rFonts w:ascii="Liberation Serif" w:eastAsia="Liberation Serif" w:hAnsi="Liberation Serif" w:cs="Liberation Serif"/>
          <w:color w:val="000000"/>
          <w:sz w:val="24"/>
          <w:szCs w:val="24"/>
        </w:rPr>
        <w:tab/>
        <w:t xml:space="preserve">Maritime Messaging Service (an upcoming maritime communication standard by </w:t>
      </w:r>
      <w:r>
        <w:rPr>
          <w:rFonts w:ascii="Liberation Serif" w:eastAsia="Liberation Serif" w:hAnsi="Liberation Serif" w:cs="Liberation Serif"/>
          <w:color w:val="000000"/>
          <w:sz w:val="24"/>
          <w:szCs w:val="24"/>
        </w:rPr>
        <w:br/>
        <w:t>the MCP and RTCM, initially thought out by the EfficienSea Project), see also</w:t>
      </w:r>
      <w:r>
        <w:rPr>
          <w:rFonts w:ascii="Liberation Serif" w:eastAsia="Liberation Serif" w:hAnsi="Liberation Serif" w:cs="Liberation Serif"/>
          <w:color w:val="000000"/>
          <w:sz w:val="24"/>
          <w:szCs w:val="24"/>
        </w:rPr>
        <w:br/>
        <w:t>[MMS-Draft]</w:t>
      </w:r>
    </w:p>
    <w:p w14:paraId="25DFDB2F"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MSR</w:t>
      </w:r>
      <w:r>
        <w:rPr>
          <w:rFonts w:ascii="Liberation Serif" w:eastAsia="Liberation Serif" w:hAnsi="Liberation Serif" w:cs="Liberation Serif"/>
          <w:color w:val="000000"/>
          <w:sz w:val="24"/>
          <w:szCs w:val="24"/>
        </w:rPr>
        <w:tab/>
        <w:t xml:space="preserve">Maritime Service Registry, see </w:t>
      </w:r>
      <w:hyperlink r:id="rId26">
        <w:r>
          <w:rPr>
            <w:rFonts w:ascii="Liberation Serif" w:eastAsia="Liberation Serif" w:hAnsi="Liberation Serif" w:cs="Liberation Serif"/>
            <w:color w:val="467886"/>
            <w:sz w:val="24"/>
            <w:szCs w:val="24"/>
            <w:u w:val="single"/>
          </w:rPr>
          <w:t>https://maritimeconnectivity.net/mcp-documents#MSR</w:t>
        </w:r>
      </w:hyperlink>
    </w:p>
    <w:p w14:paraId="25DFDB30"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ODI</w:t>
      </w:r>
      <w:r>
        <w:rPr>
          <w:rFonts w:ascii="Liberation Serif" w:eastAsia="Liberation Serif" w:hAnsi="Liberation Serif" w:cs="Liberation Serif"/>
          <w:color w:val="000000"/>
          <w:sz w:val="24"/>
          <w:szCs w:val="24"/>
        </w:rPr>
        <w:tab/>
      </w:r>
      <w:r>
        <w:rPr>
          <w:rFonts w:ascii="Liberation Serif" w:eastAsia="Liberation Serif" w:hAnsi="Liberation Serif" w:cs="Liberation Serif"/>
          <w:color w:val="000000"/>
          <w:sz w:val="24"/>
          <w:szCs w:val="24"/>
        </w:rPr>
        <w:tab/>
        <w:t>Open Digital Incubator (an initiative by MCP and IALA)</w:t>
      </w:r>
    </w:p>
    <w:p w14:paraId="25DFDB3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OSS</w:t>
      </w:r>
      <w:r>
        <w:rPr>
          <w:rFonts w:ascii="Liberation Serif" w:eastAsia="Liberation Serif" w:hAnsi="Liberation Serif" w:cs="Liberation Serif"/>
          <w:color w:val="000000"/>
          <w:sz w:val="24"/>
          <w:szCs w:val="24"/>
        </w:rPr>
        <w:tab/>
      </w:r>
      <w:r>
        <w:rPr>
          <w:rFonts w:ascii="Liberation Serif" w:eastAsia="Liberation Serif" w:hAnsi="Liberation Serif" w:cs="Liberation Serif"/>
          <w:color w:val="000000"/>
          <w:sz w:val="24"/>
          <w:szCs w:val="24"/>
        </w:rPr>
        <w:tab/>
        <w:t>Open Source Software</w:t>
      </w:r>
    </w:p>
    <w:p w14:paraId="25DFDB32"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PKI</w:t>
      </w:r>
      <w:r>
        <w:rPr>
          <w:rFonts w:ascii="Liberation Serif" w:eastAsia="Liberation Serif" w:hAnsi="Liberation Serif" w:cs="Liberation Serif"/>
          <w:color w:val="000000"/>
          <w:sz w:val="24"/>
          <w:szCs w:val="24"/>
        </w:rPr>
        <w:tab/>
      </w:r>
      <w:r>
        <w:rPr>
          <w:rFonts w:ascii="Liberation Serif" w:eastAsia="Liberation Serif" w:hAnsi="Liberation Serif" w:cs="Liberation Serif"/>
          <w:color w:val="000000"/>
          <w:sz w:val="24"/>
          <w:szCs w:val="24"/>
        </w:rPr>
        <w:tab/>
        <w:t>Public Key Infrastructure, providing cybersecure cryptographic identities</w:t>
      </w:r>
    </w:p>
    <w:p w14:paraId="25DFDB33" w14:textId="77777777" w:rsidR="000566CC" w:rsidRDefault="002177CF">
      <w:pPr>
        <w:pStyle w:val="normal1"/>
        <w:spacing w:after="140" w:line="288" w:lineRule="auto"/>
        <w:ind w:left="1418" w:hanging="1418"/>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S-124</w:t>
      </w:r>
      <w:r>
        <w:rPr>
          <w:rFonts w:ascii="Liberation Serif" w:eastAsia="Liberation Serif" w:hAnsi="Liberation Serif" w:cs="Liberation Serif"/>
          <w:color w:val="000000"/>
          <w:sz w:val="24"/>
          <w:szCs w:val="24"/>
        </w:rPr>
        <w:tab/>
        <w:t xml:space="preserve">Navigational Warnings in the IHO S-100 Framework, see </w:t>
      </w:r>
      <w:r>
        <w:rPr>
          <w:rFonts w:ascii="Liberation Serif" w:eastAsia="Liberation Serif" w:hAnsi="Liberation Serif" w:cs="Liberation Serif"/>
          <w:color w:val="000000"/>
          <w:sz w:val="24"/>
          <w:szCs w:val="24"/>
        </w:rPr>
        <w:br/>
      </w:r>
      <w:hyperlink r:id="rId27">
        <w:r>
          <w:rPr>
            <w:rFonts w:ascii="Liberation Serif" w:eastAsia="Liberation Serif" w:hAnsi="Liberation Serif" w:cs="Liberation Serif"/>
            <w:color w:val="467886"/>
            <w:sz w:val="24"/>
            <w:szCs w:val="24"/>
            <w:u w:val="single"/>
          </w:rPr>
          <w:t>https://iho.int/en/s-100-based-product-specifications</w:t>
        </w:r>
      </w:hyperlink>
    </w:p>
    <w:p w14:paraId="25DFDB34" w14:textId="77777777" w:rsidR="000566CC" w:rsidRDefault="002177CF">
      <w:pPr>
        <w:pStyle w:val="Heading2"/>
        <w:ind w:left="576" w:right="0" w:hanging="576"/>
      </w:pPr>
      <w:r>
        <w:t>Scope</w:t>
      </w:r>
    </w:p>
    <w:p w14:paraId="25DFDB35"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scope of the VOOST project VDES integration tests in 2024 is a proof of concept of the integrated MMS and VDES architecture as shown in Figure 1.</w:t>
      </w:r>
    </w:p>
    <w:p w14:paraId="25DFDB36" w14:textId="77777777" w:rsidR="000566CC" w:rsidRDefault="002177CF">
      <w:pPr>
        <w:pStyle w:val="normal1"/>
        <w:spacing w:after="140" w:line="288" w:lineRule="auto"/>
        <w:rPr>
          <w:rFonts w:ascii="Liberation Serif" w:eastAsia="Liberation Serif" w:hAnsi="Liberation Serif" w:cs="Liberation Serif"/>
          <w:color w:val="6AA84F"/>
          <w:sz w:val="24"/>
          <w:szCs w:val="24"/>
        </w:rPr>
      </w:pPr>
      <w:r>
        <w:rPr>
          <w:rFonts w:ascii="Liberation Serif" w:eastAsia="Liberation Serif" w:hAnsi="Liberation Serif" w:cs="Liberation Serif"/>
          <w:color w:val="000000"/>
          <w:sz w:val="24"/>
          <w:szCs w:val="24"/>
        </w:rPr>
        <w:t>The VOOST project defines 3 Phases, where this version of this document concentrates on Phase 1 only, covering the tests run in</w:t>
      </w:r>
      <w:r>
        <w:rPr>
          <w:rFonts w:ascii="Liberation Serif" w:eastAsia="Liberation Serif" w:hAnsi="Liberation Serif" w:cs="Liberation Serif"/>
          <w:color w:val="6AA84F"/>
          <w:sz w:val="24"/>
          <w:szCs w:val="24"/>
        </w:rPr>
        <w:t xml:space="preserve"> </w:t>
      </w:r>
      <w:r>
        <w:rPr>
          <w:color w:val="6AA84F"/>
        </w:rPr>
        <w:t>late</w:t>
      </w:r>
      <w:r>
        <w:rPr>
          <w:rFonts w:ascii="Liberation Serif" w:eastAsia="Liberation Serif" w:hAnsi="Liberation Serif" w:cs="Liberation Serif"/>
          <w:color w:val="6AA84F"/>
          <w:sz w:val="24"/>
          <w:szCs w:val="24"/>
        </w:rPr>
        <w:t xml:space="preserve"> 2024 and early 2025.</w:t>
      </w:r>
    </w:p>
    <w:p w14:paraId="25DFDB37" w14:textId="77777777" w:rsidR="000566CC" w:rsidRDefault="002177CF">
      <w:pPr>
        <w:pStyle w:val="Heading1"/>
        <w:ind w:left="432" w:hanging="432"/>
      </w:pPr>
      <w:r>
        <w:t>Motivation</w:t>
      </w:r>
    </w:p>
    <w:p w14:paraId="25DFDB38"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S-100 as data structure for maritime data exchange is adopted by IMO as of MSC.1/Circ. 1595 and IMO adopted the introduction of S-100 in it’s MSC 106 session leading to resolution MSC.530(106) which among others asks for implementation of the IHO's S-100 standard.</w:t>
      </w:r>
    </w:p>
    <w:p w14:paraId="25DFDB39"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demonstrated architecture uses [SECOM] as service interface, because the MCC work with ODI showed that [SECOM] has a high adoption rate by maritime administrations, i.e. Korea, Japan, Australia, Sweden, Denmark, Finland and Canada are actively driving S-100 over SECOM. Most administrations use the open source [Niord] platform, and the MCP public demonstrator (MCP-PD) MIR as PKI.</w:t>
      </w:r>
    </w:p>
    <w:p w14:paraId="25DFDB3A"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For the transport of S-100 over VDES, the [MMS] is chosen, because it is developed by the MCP, IALA and RTCM to integrate with the MCP authentication and trust schemes and supports seamless transport </w:t>
      </w:r>
      <w:r>
        <w:rPr>
          <w:rFonts w:ascii="Liberation Serif" w:eastAsia="Liberation Serif" w:hAnsi="Liberation Serif" w:cs="Liberation Serif"/>
          <w:color w:val="000000"/>
          <w:sz w:val="24"/>
          <w:szCs w:val="24"/>
        </w:rPr>
        <w:lastRenderedPageBreak/>
        <w:t>over different carriers, IP- and non-IP based to support interoperability between many applications and ships in the future, without excluding some transports, nations or ship types, allowing great scalability.</w:t>
      </w:r>
    </w:p>
    <w:p w14:paraId="25DFDB3B" w14:textId="77777777" w:rsidR="000566CC" w:rsidRDefault="002177CF">
      <w:pPr>
        <w:pStyle w:val="Heading1"/>
        <w:ind w:left="432" w:hanging="432"/>
      </w:pPr>
      <w:r>
        <w:t>System Overview</w:t>
      </w:r>
    </w:p>
    <w:p w14:paraId="25DFDB3C"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deployed system overview is shown in Figure 1.</w:t>
      </w:r>
    </w:p>
    <w:p w14:paraId="25DFDB3D" w14:textId="77777777" w:rsidR="000566CC" w:rsidRDefault="002177CF">
      <w:pPr>
        <w:pStyle w:val="normal1"/>
      </w:pPr>
      <w:r>
        <w:rPr>
          <w:noProof/>
        </w:rPr>
        <w:drawing>
          <wp:inline distT="0" distB="0" distL="0" distR="0" wp14:anchorId="25DFDC55" wp14:editId="25DFDC56">
            <wp:extent cx="6118225" cy="3411220"/>
            <wp:effectExtent l="0" t="0" r="0" b="0"/>
            <wp:docPr id="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6.png"/>
                    <pic:cNvPicPr>
                      <a:picLocks noChangeAspect="1" noChangeArrowheads="1"/>
                    </pic:cNvPicPr>
                  </pic:nvPicPr>
                  <pic:blipFill>
                    <a:blip r:embed="rId28"/>
                    <a:stretch>
                      <a:fillRect/>
                    </a:stretch>
                  </pic:blipFill>
                  <pic:spPr bwMode="auto">
                    <a:xfrm>
                      <a:off x="0" y="0"/>
                      <a:ext cx="6118225" cy="3411220"/>
                    </a:xfrm>
                    <a:prstGeom prst="rect">
                      <a:avLst/>
                    </a:prstGeom>
                    <a:noFill/>
                  </pic:spPr>
                </pic:pic>
              </a:graphicData>
            </a:graphic>
          </wp:inline>
        </w:drawing>
      </w:r>
    </w:p>
    <w:p w14:paraId="25DFDB3E" w14:textId="277A7CA2" w:rsidR="000566CC" w:rsidRDefault="0043674F">
      <w:pPr>
        <w:pStyle w:val="normal1"/>
        <w:spacing w:after="140" w:line="288" w:lineRule="auto"/>
        <w:rPr>
          <w:rFonts w:ascii="Liberation Serif" w:eastAsia="Liberation Serif" w:hAnsi="Liberation Serif" w:cs="Liberation Serif"/>
          <w:color w:val="000000"/>
          <w:sz w:val="24"/>
          <w:szCs w:val="24"/>
        </w:rPr>
      </w:pPr>
      <w:r>
        <w:rPr>
          <w:noProof/>
        </w:rPr>
        <w:pict w14:anchorId="6361D906">
          <v:rect id="Shape 3" o:spid="_x0000_s1048" style="position:absolute;margin-left:0;margin-top:10pt;width:296.25pt;height:26.55pt;z-index:251648000;visibility:visible;mso-wrap-style:square;mso-wrap-distance-left:8.85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" o:allowincell="f" stroked="f" strokeweight="0">
            <v:textbox inset="0,0,0,0">
              <w:txbxContent>
                <w:p w14:paraId="25DFDCF1" w14:textId="77777777" w:rsidR="000566CC" w:rsidRDefault="002177CF">
                  <w:pPr>
                    <w:pStyle w:val="FrameContents"/>
                    <w:spacing w:before="120" w:after="120" w:line="240" w:lineRule="exact"/>
                  </w:pPr>
                  <w:r>
                    <w:rPr>
                      <w:rFonts w:ascii="Arial" w:eastAsia="Arial" w:hAnsi="Arial" w:cs="Arial"/>
                      <w:i/>
                      <w:color w:val="000000"/>
                      <w:sz w:val="28"/>
                    </w:rPr>
                    <w:t>Figure  SEQ Figure \* ARABIC 1 Overview over the Phase 1 VDES/MMS Test bed</w:t>
                  </w:r>
                </w:p>
              </w:txbxContent>
            </v:textbox>
            <w10:wrap type="topAndBottom"/>
          </v:rect>
        </w:pict>
      </w:r>
    </w:p>
    <w:p w14:paraId="25DFDB3F"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Identified subsystems are shown in Table 1.</w:t>
      </w:r>
    </w:p>
    <w:tbl>
      <w:tblPr>
        <w:tblW w:w="9638" w:type="dxa"/>
        <w:tblInd w:w="60" w:type="dxa"/>
        <w:tblLayout w:type="fixed"/>
        <w:tblCellMar>
          <w:top w:w="55" w:type="dxa"/>
          <w:left w:w="55" w:type="dxa"/>
          <w:bottom w:w="55" w:type="dxa"/>
          <w:right w:w="55" w:type="dxa"/>
        </w:tblCellMar>
        <w:tblLook w:val="0400" w:firstRow="0" w:lastRow="0" w:firstColumn="0" w:lastColumn="0" w:noHBand="0" w:noVBand="1"/>
      </w:tblPr>
      <w:tblGrid>
        <w:gridCol w:w="1755"/>
        <w:gridCol w:w="4670"/>
        <w:gridCol w:w="3213"/>
      </w:tblGrid>
      <w:tr w:rsidR="000566CC" w14:paraId="25DFDB43" w14:textId="77777777">
        <w:tc>
          <w:tcPr>
            <w:tcW w:w="1755" w:type="dxa"/>
            <w:tcBorders>
              <w:top w:val="single" w:sz="4" w:space="0" w:color="000000"/>
              <w:left w:val="single" w:sz="4" w:space="0" w:color="000000"/>
              <w:bottom w:val="single" w:sz="4" w:space="0" w:color="000000"/>
            </w:tcBorders>
          </w:tcPr>
          <w:p w14:paraId="25DFDB40" w14:textId="77777777" w:rsidR="000566CC" w:rsidRDefault="002177CF">
            <w:pPr>
              <w:pStyle w:val="normal1"/>
              <w:rPr>
                <w:rFonts w:ascii="Liberation Serif" w:eastAsia="Liberation Serif" w:hAnsi="Liberation Serif" w:cs="Liberation Serif"/>
                <w:b/>
                <w:color w:val="000000"/>
                <w:sz w:val="24"/>
                <w:szCs w:val="24"/>
              </w:rPr>
            </w:pPr>
            <w:r>
              <w:rPr>
                <w:rFonts w:ascii="Liberation Serif" w:eastAsia="Liberation Serif" w:hAnsi="Liberation Serif" w:cs="Liberation Serif"/>
                <w:b/>
                <w:color w:val="000000"/>
                <w:sz w:val="24"/>
                <w:szCs w:val="24"/>
              </w:rPr>
              <w:t>Subsystem</w:t>
            </w:r>
          </w:p>
        </w:tc>
        <w:tc>
          <w:tcPr>
            <w:tcW w:w="4670" w:type="dxa"/>
            <w:tcBorders>
              <w:top w:val="single" w:sz="4" w:space="0" w:color="000000"/>
              <w:left w:val="single" w:sz="4" w:space="0" w:color="000000"/>
              <w:bottom w:val="single" w:sz="4" w:space="0" w:color="000000"/>
            </w:tcBorders>
          </w:tcPr>
          <w:p w14:paraId="25DFDB41" w14:textId="77777777" w:rsidR="000566CC" w:rsidRDefault="002177CF">
            <w:pPr>
              <w:pStyle w:val="normal1"/>
              <w:rPr>
                <w:rFonts w:ascii="Liberation Serif" w:eastAsia="Liberation Serif" w:hAnsi="Liberation Serif" w:cs="Liberation Serif"/>
                <w:b/>
                <w:color w:val="000000"/>
                <w:sz w:val="24"/>
                <w:szCs w:val="24"/>
              </w:rPr>
            </w:pPr>
            <w:r>
              <w:rPr>
                <w:rFonts w:ascii="Liberation Serif" w:eastAsia="Liberation Serif" w:hAnsi="Liberation Serif" w:cs="Liberation Serif"/>
                <w:b/>
                <w:color w:val="000000"/>
                <w:sz w:val="24"/>
                <w:szCs w:val="24"/>
              </w:rPr>
              <w:t>Description</w:t>
            </w:r>
          </w:p>
        </w:tc>
        <w:tc>
          <w:tcPr>
            <w:tcW w:w="3213" w:type="dxa"/>
            <w:tcBorders>
              <w:top w:val="single" w:sz="4" w:space="0" w:color="000000"/>
              <w:left w:val="single" w:sz="4" w:space="0" w:color="000000"/>
              <w:bottom w:val="single" w:sz="4" w:space="0" w:color="000000"/>
              <w:right w:val="single" w:sz="4" w:space="0" w:color="000000"/>
            </w:tcBorders>
          </w:tcPr>
          <w:p w14:paraId="25DFDB42" w14:textId="77777777" w:rsidR="000566CC" w:rsidRDefault="002177CF">
            <w:pPr>
              <w:pStyle w:val="normal1"/>
              <w:rPr>
                <w:rFonts w:ascii="Liberation Serif" w:eastAsia="Liberation Serif" w:hAnsi="Liberation Serif" w:cs="Liberation Serif"/>
                <w:b/>
                <w:color w:val="000000"/>
                <w:sz w:val="24"/>
                <w:szCs w:val="24"/>
              </w:rPr>
            </w:pPr>
            <w:r>
              <w:rPr>
                <w:rFonts w:ascii="Liberation Serif" w:eastAsia="Liberation Serif" w:hAnsi="Liberation Serif" w:cs="Liberation Serif"/>
                <w:b/>
                <w:color w:val="000000"/>
                <w:sz w:val="24"/>
                <w:szCs w:val="24"/>
              </w:rPr>
              <w:t>Responsibility for development and operations</w:t>
            </w:r>
          </w:p>
        </w:tc>
      </w:tr>
      <w:tr w:rsidR="000566CC" w14:paraId="25DFDB47" w14:textId="77777777">
        <w:tc>
          <w:tcPr>
            <w:tcW w:w="1755" w:type="dxa"/>
            <w:tcBorders>
              <w:left w:val="single" w:sz="4" w:space="0" w:color="000000"/>
              <w:bottom w:val="single" w:sz="4" w:space="0" w:color="000000"/>
            </w:tcBorders>
          </w:tcPr>
          <w:p w14:paraId="25DFDB44"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S-124 MSI Service</w:t>
            </w:r>
          </w:p>
        </w:tc>
        <w:tc>
          <w:tcPr>
            <w:tcW w:w="4670" w:type="dxa"/>
            <w:tcBorders>
              <w:left w:val="single" w:sz="4" w:space="0" w:color="000000"/>
              <w:bottom w:val="single" w:sz="4" w:space="0" w:color="000000"/>
            </w:tcBorders>
          </w:tcPr>
          <w:p w14:paraId="25DFDB45"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Niord platform provided navigational warnings in S-124,</w:t>
            </w:r>
          </w:p>
        </w:tc>
        <w:tc>
          <w:tcPr>
            <w:tcW w:w="3213" w:type="dxa"/>
            <w:tcBorders>
              <w:left w:val="single" w:sz="4" w:space="0" w:color="000000"/>
              <w:bottom w:val="single" w:sz="4" w:space="0" w:color="000000"/>
              <w:right w:val="single" w:sz="4" w:space="0" w:color="000000"/>
            </w:tcBorders>
          </w:tcPr>
          <w:p w14:paraId="25DFDB46"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AIVeNautics,</w:t>
            </w:r>
            <w:r>
              <w:rPr>
                <w:rFonts w:ascii="Liberation Serif" w:eastAsia="Liberation Serif" w:hAnsi="Liberation Serif" w:cs="Liberation Serif"/>
                <w:color w:val="000000"/>
                <w:sz w:val="24"/>
                <w:szCs w:val="24"/>
              </w:rPr>
              <w:br/>
              <w:t>Australia (publicly available),</w:t>
            </w:r>
            <w:r>
              <w:rPr>
                <w:rFonts w:ascii="Liberation Serif" w:eastAsia="Liberation Serif" w:hAnsi="Liberation Serif" w:cs="Liberation Serif"/>
                <w:color w:val="000000"/>
                <w:sz w:val="24"/>
                <w:szCs w:val="24"/>
              </w:rPr>
              <w:br/>
              <w:t>Denmark (publicly available).</w:t>
            </w:r>
          </w:p>
        </w:tc>
      </w:tr>
      <w:tr w:rsidR="000566CC" w14:paraId="25DFDB4B" w14:textId="77777777">
        <w:tc>
          <w:tcPr>
            <w:tcW w:w="1755" w:type="dxa"/>
            <w:tcBorders>
              <w:left w:val="single" w:sz="4" w:space="0" w:color="000000"/>
              <w:bottom w:val="single" w:sz="4" w:space="0" w:color="000000"/>
            </w:tcBorders>
          </w:tcPr>
          <w:p w14:paraId="25DFDB48"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SECOM Gateway</w:t>
            </w:r>
          </w:p>
        </w:tc>
        <w:tc>
          <w:tcPr>
            <w:tcW w:w="4670" w:type="dxa"/>
            <w:tcBorders>
              <w:left w:val="single" w:sz="4" w:space="0" w:color="000000"/>
              <w:bottom w:val="single" w:sz="4" w:space="0" w:color="000000"/>
            </w:tcBorders>
          </w:tcPr>
          <w:p w14:paraId="25DFDB49"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ODI SECOM service consumer as of [MMS] Appendix I</w:t>
            </w:r>
            <w:r>
              <w:rPr>
                <w:rFonts w:ascii="Liberation Serif" w:eastAsia="Liberation Serif" w:hAnsi="Liberation Serif" w:cs="Liberation Serif"/>
                <w:color w:val="000000"/>
                <w:sz w:val="24"/>
                <w:szCs w:val="24"/>
              </w:rPr>
              <w:br/>
              <w:t>Consuming SECOM services for S-124 navigational warnings from AIVeNautics, Australia and Denmark.</w:t>
            </w:r>
          </w:p>
        </w:tc>
        <w:tc>
          <w:tcPr>
            <w:tcW w:w="3213" w:type="dxa"/>
            <w:tcBorders>
              <w:left w:val="single" w:sz="4" w:space="0" w:color="000000"/>
              <w:bottom w:val="single" w:sz="4" w:space="0" w:color="000000"/>
              <w:right w:val="single" w:sz="4" w:space="0" w:color="000000"/>
            </w:tcBorders>
          </w:tcPr>
          <w:p w14:paraId="25DFDB4A"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AIVeNautics, proprietary</w:t>
            </w:r>
          </w:p>
        </w:tc>
      </w:tr>
      <w:tr w:rsidR="000566CC" w14:paraId="25DFDB4F" w14:textId="77777777">
        <w:tc>
          <w:tcPr>
            <w:tcW w:w="1755" w:type="dxa"/>
            <w:tcBorders>
              <w:left w:val="single" w:sz="4" w:space="0" w:color="000000"/>
              <w:bottom w:val="single" w:sz="4" w:space="0" w:color="000000"/>
            </w:tcBorders>
          </w:tcPr>
          <w:p w14:paraId="25DFDB4C"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Edge Router</w:t>
            </w:r>
          </w:p>
        </w:tc>
        <w:tc>
          <w:tcPr>
            <w:tcW w:w="4670" w:type="dxa"/>
            <w:tcBorders>
              <w:left w:val="single" w:sz="4" w:space="0" w:color="000000"/>
              <w:bottom w:val="single" w:sz="4" w:space="0" w:color="000000"/>
            </w:tcBorders>
          </w:tcPr>
          <w:p w14:paraId="25DFDB4D"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Interfacing the MMS Router Network with </w:t>
            </w:r>
            <w:r>
              <w:rPr>
                <w:rFonts w:ascii="Liberation Serif" w:eastAsia="Liberation Serif" w:hAnsi="Liberation Serif" w:cs="Liberation Serif"/>
                <w:color w:val="000000"/>
                <w:sz w:val="24"/>
                <w:szCs w:val="24"/>
              </w:rPr>
              <w:br/>
              <w:t>(a) the SECOM Gateway,</w:t>
            </w:r>
            <w:r>
              <w:rPr>
                <w:rFonts w:ascii="Liberation Serif" w:eastAsia="Liberation Serif" w:hAnsi="Liberation Serif" w:cs="Liberation Serif"/>
                <w:color w:val="000000"/>
                <w:sz w:val="24"/>
                <w:szCs w:val="24"/>
              </w:rPr>
              <w:br/>
              <w:t>(b) the VDE-TER Gateway, and</w:t>
            </w:r>
            <w:r>
              <w:rPr>
                <w:rFonts w:ascii="Liberation Serif" w:eastAsia="Liberation Serif" w:hAnsi="Liberation Serif" w:cs="Liberation Serif"/>
                <w:color w:val="000000"/>
                <w:sz w:val="24"/>
                <w:szCs w:val="24"/>
              </w:rPr>
              <w:br/>
              <w:t>(c) any direct clients that connect over internet, e.g. 4G</w:t>
            </w:r>
          </w:p>
        </w:tc>
        <w:tc>
          <w:tcPr>
            <w:tcW w:w="3213" w:type="dxa"/>
            <w:tcBorders>
              <w:left w:val="single" w:sz="4" w:space="0" w:color="000000"/>
              <w:bottom w:val="single" w:sz="4" w:space="0" w:color="000000"/>
              <w:right w:val="single" w:sz="4" w:space="0" w:color="000000"/>
            </w:tcBorders>
          </w:tcPr>
          <w:p w14:paraId="25DFDB4E"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AIVeNautics, OSS</w:t>
            </w:r>
          </w:p>
        </w:tc>
      </w:tr>
      <w:tr w:rsidR="000566CC" w14:paraId="25DFDB53" w14:textId="77777777">
        <w:tc>
          <w:tcPr>
            <w:tcW w:w="1755" w:type="dxa"/>
            <w:tcBorders>
              <w:left w:val="single" w:sz="4" w:space="0" w:color="000000"/>
              <w:bottom w:val="single" w:sz="4" w:space="0" w:color="000000"/>
            </w:tcBorders>
          </w:tcPr>
          <w:p w14:paraId="25DFDB50"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VDE-TER Gateway</w:t>
            </w:r>
          </w:p>
        </w:tc>
        <w:tc>
          <w:tcPr>
            <w:tcW w:w="4670" w:type="dxa"/>
            <w:tcBorders>
              <w:left w:val="single" w:sz="4" w:space="0" w:color="000000"/>
              <w:bottom w:val="single" w:sz="4" w:space="0" w:color="000000"/>
            </w:tcBorders>
          </w:tcPr>
          <w:p w14:paraId="25DFDB51"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MMS VDE-TER Gatway to bridge MMS over VDES from shore to ship according to [MMS] Appendix C</w:t>
            </w:r>
          </w:p>
        </w:tc>
        <w:tc>
          <w:tcPr>
            <w:tcW w:w="3213" w:type="dxa"/>
            <w:tcBorders>
              <w:left w:val="single" w:sz="4" w:space="0" w:color="000000"/>
              <w:bottom w:val="single" w:sz="4" w:space="0" w:color="000000"/>
              <w:right w:val="single" w:sz="4" w:space="0" w:color="000000"/>
            </w:tcBorders>
          </w:tcPr>
          <w:p w14:paraId="25DFDB52"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Sternula A/S</w:t>
            </w:r>
          </w:p>
        </w:tc>
      </w:tr>
      <w:tr w:rsidR="000566CC" w14:paraId="25DFDB57" w14:textId="77777777">
        <w:tc>
          <w:tcPr>
            <w:tcW w:w="1755" w:type="dxa"/>
            <w:tcBorders>
              <w:left w:val="single" w:sz="4" w:space="0" w:color="000000"/>
              <w:bottom w:val="single" w:sz="4" w:space="0" w:color="000000"/>
            </w:tcBorders>
          </w:tcPr>
          <w:p w14:paraId="25DFDB54"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VDES Base Station</w:t>
            </w:r>
          </w:p>
        </w:tc>
        <w:tc>
          <w:tcPr>
            <w:tcW w:w="4670" w:type="dxa"/>
            <w:tcBorders>
              <w:left w:val="single" w:sz="4" w:space="0" w:color="000000"/>
              <w:bottom w:val="single" w:sz="4" w:space="0" w:color="000000"/>
            </w:tcBorders>
          </w:tcPr>
          <w:p w14:paraId="25DFDB55"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SAAB R60, commercially available</w:t>
            </w:r>
            <w:r>
              <w:rPr>
                <w:rFonts w:ascii="Liberation Serif" w:eastAsia="Liberation Serif" w:hAnsi="Liberation Serif" w:cs="Liberation Serif"/>
                <w:color w:val="000000"/>
                <w:sz w:val="24"/>
                <w:szCs w:val="24"/>
              </w:rPr>
              <w:br/>
              <w:t>implements ITU-R M.2092-1</w:t>
            </w:r>
          </w:p>
        </w:tc>
        <w:tc>
          <w:tcPr>
            <w:tcW w:w="3213" w:type="dxa"/>
            <w:tcBorders>
              <w:left w:val="single" w:sz="4" w:space="0" w:color="000000"/>
              <w:bottom w:val="single" w:sz="4" w:space="0" w:color="000000"/>
              <w:right w:val="single" w:sz="4" w:space="0" w:color="000000"/>
            </w:tcBorders>
          </w:tcPr>
          <w:p w14:paraId="25DFDB56"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Sternula A/S provides one,</w:t>
            </w:r>
            <w:r>
              <w:rPr>
                <w:rFonts w:ascii="Liberation Serif" w:eastAsia="Liberation Serif" w:hAnsi="Liberation Serif" w:cs="Liberation Serif"/>
                <w:color w:val="000000"/>
                <w:sz w:val="24"/>
                <w:szCs w:val="24"/>
              </w:rPr>
              <w:br/>
              <w:t>generally available product, produced by SAAB A/S</w:t>
            </w:r>
          </w:p>
        </w:tc>
      </w:tr>
      <w:tr w:rsidR="000566CC" w14:paraId="25DFDB5B" w14:textId="77777777">
        <w:tc>
          <w:tcPr>
            <w:tcW w:w="1755" w:type="dxa"/>
            <w:tcBorders>
              <w:left w:val="single" w:sz="4" w:space="0" w:color="000000"/>
              <w:bottom w:val="single" w:sz="4" w:space="0" w:color="000000"/>
            </w:tcBorders>
          </w:tcPr>
          <w:p w14:paraId="25DFDB58"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VDES ship TRX</w:t>
            </w:r>
          </w:p>
        </w:tc>
        <w:tc>
          <w:tcPr>
            <w:tcW w:w="4670" w:type="dxa"/>
            <w:tcBorders>
              <w:left w:val="single" w:sz="4" w:space="0" w:color="000000"/>
              <w:bottom w:val="single" w:sz="4" w:space="0" w:color="000000"/>
            </w:tcBorders>
          </w:tcPr>
          <w:p w14:paraId="25DFDB59"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VDES Ship Transceiver SAAB R6</w:t>
            </w:r>
          </w:p>
        </w:tc>
        <w:tc>
          <w:tcPr>
            <w:tcW w:w="3213" w:type="dxa"/>
            <w:tcBorders>
              <w:left w:val="single" w:sz="4" w:space="0" w:color="000000"/>
              <w:bottom w:val="single" w:sz="4" w:space="0" w:color="000000"/>
              <w:right w:val="single" w:sz="4" w:space="0" w:color="000000"/>
            </w:tcBorders>
          </w:tcPr>
          <w:p w14:paraId="25DFDB5A"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Sternula A/S provides one,</w:t>
            </w:r>
            <w:r>
              <w:rPr>
                <w:rFonts w:ascii="Liberation Serif" w:eastAsia="Liberation Serif" w:hAnsi="Liberation Serif" w:cs="Liberation Serif"/>
                <w:color w:val="000000"/>
                <w:sz w:val="24"/>
                <w:szCs w:val="24"/>
              </w:rPr>
              <w:br/>
              <w:t>generally available product, produced by SAAB A/S</w:t>
            </w:r>
          </w:p>
        </w:tc>
      </w:tr>
      <w:tr w:rsidR="000566CC" w14:paraId="25DFDB5F" w14:textId="77777777">
        <w:tc>
          <w:tcPr>
            <w:tcW w:w="1755" w:type="dxa"/>
            <w:tcBorders>
              <w:left w:val="single" w:sz="4" w:space="0" w:color="000000"/>
              <w:bottom w:val="single" w:sz="4" w:space="0" w:color="000000"/>
            </w:tcBorders>
          </w:tcPr>
          <w:p w14:paraId="25DFDB5C"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Ship 4G modem</w:t>
            </w:r>
          </w:p>
        </w:tc>
        <w:tc>
          <w:tcPr>
            <w:tcW w:w="4670" w:type="dxa"/>
            <w:tcBorders>
              <w:left w:val="single" w:sz="4" w:space="0" w:color="000000"/>
              <w:bottom w:val="single" w:sz="4" w:space="0" w:color="000000"/>
            </w:tcBorders>
          </w:tcPr>
          <w:p w14:paraId="25DFDB5D"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Ship grade outside 4G antenna with modem to access 3GPP standardized mobile internet.</w:t>
            </w:r>
          </w:p>
        </w:tc>
        <w:tc>
          <w:tcPr>
            <w:tcW w:w="3213" w:type="dxa"/>
            <w:tcBorders>
              <w:left w:val="single" w:sz="4" w:space="0" w:color="000000"/>
              <w:bottom w:val="single" w:sz="4" w:space="0" w:color="000000"/>
              <w:right w:val="single" w:sz="4" w:space="0" w:color="000000"/>
            </w:tcBorders>
          </w:tcPr>
          <w:p w14:paraId="25DFDB5E"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Sternula A/S, proprietary</w:t>
            </w:r>
          </w:p>
        </w:tc>
      </w:tr>
      <w:tr w:rsidR="000566CC" w14:paraId="25DFDB63" w14:textId="77777777">
        <w:tc>
          <w:tcPr>
            <w:tcW w:w="1755" w:type="dxa"/>
            <w:tcBorders>
              <w:left w:val="single" w:sz="4" w:space="0" w:color="000000"/>
              <w:bottom w:val="single" w:sz="4" w:space="0" w:color="000000"/>
            </w:tcBorders>
          </w:tcPr>
          <w:p w14:paraId="25DFDB60"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Ship Edge Router</w:t>
            </w:r>
          </w:p>
        </w:tc>
        <w:tc>
          <w:tcPr>
            <w:tcW w:w="4670" w:type="dxa"/>
            <w:tcBorders>
              <w:left w:val="single" w:sz="4" w:space="0" w:color="000000"/>
              <w:bottom w:val="single" w:sz="4" w:space="0" w:color="000000"/>
            </w:tcBorders>
          </w:tcPr>
          <w:p w14:paraId="25DFDB61"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Ship grade MMS Edge Router</w:t>
            </w:r>
            <w:r>
              <w:rPr>
                <w:rFonts w:ascii="Liberation Serif" w:eastAsia="Liberation Serif" w:hAnsi="Liberation Serif" w:cs="Liberation Serif"/>
                <w:color w:val="000000"/>
                <w:sz w:val="24"/>
                <w:szCs w:val="24"/>
              </w:rPr>
              <w:br/>
              <w:t>Sternula MMS Ship Proxy, supporting VDE-TER according to [MMS] Appendix C</w:t>
            </w:r>
          </w:p>
        </w:tc>
        <w:tc>
          <w:tcPr>
            <w:tcW w:w="3213" w:type="dxa"/>
            <w:tcBorders>
              <w:left w:val="single" w:sz="4" w:space="0" w:color="000000"/>
              <w:bottom w:val="single" w:sz="4" w:space="0" w:color="000000"/>
              <w:right w:val="single" w:sz="4" w:space="0" w:color="000000"/>
            </w:tcBorders>
          </w:tcPr>
          <w:p w14:paraId="25DFDB62"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Sternula A/S,</w:t>
            </w:r>
            <w:r>
              <w:rPr>
                <w:rFonts w:ascii="Liberation Serif" w:eastAsia="Liberation Serif" w:hAnsi="Liberation Serif" w:cs="Liberation Serif"/>
                <w:color w:val="000000"/>
                <w:sz w:val="24"/>
                <w:szCs w:val="24"/>
              </w:rPr>
              <w:br/>
              <w:t>generally available product, produced by Sternula A/S</w:t>
            </w:r>
          </w:p>
        </w:tc>
      </w:tr>
      <w:tr w:rsidR="000566CC" w14:paraId="25DFDB67" w14:textId="77777777">
        <w:tc>
          <w:tcPr>
            <w:tcW w:w="1755" w:type="dxa"/>
            <w:tcBorders>
              <w:left w:val="single" w:sz="4" w:space="0" w:color="000000"/>
              <w:bottom w:val="single" w:sz="4" w:space="0" w:color="000000"/>
            </w:tcBorders>
          </w:tcPr>
          <w:p w14:paraId="25DFDB64" w14:textId="77777777" w:rsidR="000566CC" w:rsidRDefault="0043674F">
            <w:pPr>
              <w:pStyle w:val="normal1"/>
              <w:rPr>
                <w:rFonts w:ascii="Liberation Serif" w:eastAsia="Liberation Serif" w:hAnsi="Liberation Serif" w:cs="Liberation Serif"/>
                <w:color w:val="000000"/>
                <w:sz w:val="24"/>
                <w:szCs w:val="24"/>
              </w:rPr>
            </w:pPr>
            <w:sdt>
              <w:sdtPr>
                <w:tag w:val="goog_rdk_14"/>
                <w:id w:val="-843788858"/>
              </w:sdtPr>
              <w:sdtEndPr/>
              <w:sdtContent/>
            </w:sdt>
          </w:p>
        </w:tc>
        <w:tc>
          <w:tcPr>
            <w:tcW w:w="4670" w:type="dxa"/>
            <w:tcBorders>
              <w:left w:val="single" w:sz="4" w:space="0" w:color="000000"/>
              <w:bottom w:val="single" w:sz="4" w:space="0" w:color="000000"/>
            </w:tcBorders>
          </w:tcPr>
          <w:p w14:paraId="25DFDB65" w14:textId="77777777" w:rsidR="000566CC" w:rsidRDefault="0043674F">
            <w:pPr>
              <w:pStyle w:val="normal1"/>
              <w:rPr>
                <w:rFonts w:ascii="Liberation Serif" w:eastAsia="Liberation Serif" w:hAnsi="Liberation Serif" w:cs="Liberation Serif"/>
                <w:color w:val="000000"/>
                <w:sz w:val="24"/>
                <w:szCs w:val="24"/>
              </w:rPr>
            </w:pPr>
            <w:sdt>
              <w:sdtPr>
                <w:tag w:val="goog_rdk_16"/>
                <w:id w:val="-2130313787"/>
              </w:sdtPr>
              <w:sdtEndPr/>
              <w:sdtContent/>
            </w:sdt>
          </w:p>
        </w:tc>
        <w:tc>
          <w:tcPr>
            <w:tcW w:w="3213" w:type="dxa"/>
            <w:tcBorders>
              <w:left w:val="single" w:sz="4" w:space="0" w:color="000000"/>
              <w:bottom w:val="single" w:sz="4" w:space="0" w:color="000000"/>
              <w:right w:val="single" w:sz="4" w:space="0" w:color="000000"/>
            </w:tcBorders>
          </w:tcPr>
          <w:p w14:paraId="25DFDB66" w14:textId="77777777" w:rsidR="000566CC" w:rsidRDefault="0043674F">
            <w:pPr>
              <w:pStyle w:val="normal1"/>
              <w:rPr>
                <w:rFonts w:ascii="Liberation Serif" w:eastAsia="Liberation Serif" w:hAnsi="Liberation Serif" w:cs="Liberation Serif"/>
                <w:color w:val="000000"/>
                <w:sz w:val="24"/>
                <w:szCs w:val="24"/>
              </w:rPr>
            </w:pPr>
            <w:sdt>
              <w:sdtPr>
                <w:tag w:val="goog_rdk_18"/>
                <w:id w:val="-410398440"/>
              </w:sdtPr>
              <w:sdtEndPr/>
              <w:sdtContent/>
            </w:sdt>
          </w:p>
        </w:tc>
      </w:tr>
      <w:tr w:rsidR="000566CC" w14:paraId="25DFDB6B" w14:textId="77777777">
        <w:tc>
          <w:tcPr>
            <w:tcW w:w="1755" w:type="dxa"/>
            <w:tcBorders>
              <w:left w:val="single" w:sz="4" w:space="0" w:color="000000"/>
              <w:bottom w:val="single" w:sz="4" w:space="0" w:color="000000"/>
            </w:tcBorders>
          </w:tcPr>
          <w:p w14:paraId="25DFDB68"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ChatSea</w:t>
            </w:r>
          </w:p>
        </w:tc>
        <w:tc>
          <w:tcPr>
            <w:tcW w:w="4670" w:type="dxa"/>
            <w:tcBorders>
              <w:left w:val="single" w:sz="4" w:space="0" w:color="000000"/>
              <w:bottom w:val="single" w:sz="4" w:space="0" w:color="000000"/>
            </w:tcBorders>
          </w:tcPr>
          <w:p w14:paraId="25DFDB69"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Mobile phone application on iOS and Android.</w:t>
            </w:r>
            <w:r>
              <w:rPr>
                <w:rFonts w:ascii="Liberation Serif" w:eastAsia="Liberation Serif" w:hAnsi="Liberation Serif" w:cs="Liberation Serif"/>
                <w:color w:val="000000"/>
                <w:sz w:val="24"/>
                <w:szCs w:val="24"/>
              </w:rPr>
              <w:br/>
              <w:t>Displays navigational warnings received through MMS in S-124 format.</w:t>
            </w:r>
          </w:p>
        </w:tc>
        <w:tc>
          <w:tcPr>
            <w:tcW w:w="3213" w:type="dxa"/>
            <w:tcBorders>
              <w:left w:val="single" w:sz="4" w:space="0" w:color="000000"/>
              <w:bottom w:val="single" w:sz="4" w:space="0" w:color="000000"/>
              <w:right w:val="single" w:sz="4" w:space="0" w:color="000000"/>
            </w:tcBorders>
          </w:tcPr>
          <w:p w14:paraId="25DFDB6A"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AIVeNautics, proprietary</w:t>
            </w:r>
          </w:p>
        </w:tc>
      </w:tr>
      <w:tr w:rsidR="000566CC" w14:paraId="25DFDB6F" w14:textId="77777777">
        <w:tc>
          <w:tcPr>
            <w:tcW w:w="1755" w:type="dxa"/>
            <w:tcBorders>
              <w:left w:val="single" w:sz="4" w:space="0" w:color="000000"/>
              <w:bottom w:val="single" w:sz="4" w:space="0" w:color="000000"/>
            </w:tcBorders>
          </w:tcPr>
          <w:p w14:paraId="25DFDB6C"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MIR</w:t>
            </w:r>
          </w:p>
        </w:tc>
        <w:tc>
          <w:tcPr>
            <w:tcW w:w="4670" w:type="dxa"/>
            <w:tcBorders>
              <w:left w:val="single" w:sz="4" w:space="0" w:color="000000"/>
              <w:bottom w:val="single" w:sz="4" w:space="0" w:color="000000"/>
            </w:tcBorders>
          </w:tcPr>
          <w:p w14:paraId="25DFDB6D"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Maritime Identity Registry</w:t>
            </w:r>
          </w:p>
        </w:tc>
        <w:tc>
          <w:tcPr>
            <w:tcW w:w="3213" w:type="dxa"/>
            <w:tcBorders>
              <w:left w:val="single" w:sz="4" w:space="0" w:color="000000"/>
              <w:bottom w:val="single" w:sz="4" w:space="0" w:color="000000"/>
              <w:right w:val="single" w:sz="4" w:space="0" w:color="000000"/>
            </w:tcBorders>
          </w:tcPr>
          <w:p w14:paraId="25DFDB6E" w14:textId="77777777" w:rsidR="000566CC" w:rsidRDefault="002177CF">
            <w:pPr>
              <w:pStyle w:val="normal1"/>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AIVeNautics, </w:t>
            </w:r>
            <w:r>
              <w:rPr>
                <w:rFonts w:ascii="Liberation Serif" w:eastAsia="Liberation Serif" w:hAnsi="Liberation Serif" w:cs="Liberation Serif"/>
                <w:color w:val="000000"/>
                <w:sz w:val="24"/>
                <w:szCs w:val="24"/>
              </w:rPr>
              <w:br/>
              <w:t>publicly available through the MCC PD</w:t>
            </w:r>
          </w:p>
        </w:tc>
      </w:tr>
    </w:tbl>
    <w:p w14:paraId="25DFDB70" w14:textId="77777777" w:rsidR="000566CC" w:rsidRDefault="002177CF">
      <w:pPr>
        <w:pStyle w:val="normal1"/>
        <w:spacing w:before="120" w:after="120"/>
        <w:rPr>
          <w:rFonts w:ascii="Liberation Serif" w:eastAsia="Liberation Serif" w:hAnsi="Liberation Serif" w:cs="Liberation Serif"/>
          <w:i/>
          <w:color w:val="000000"/>
          <w:sz w:val="24"/>
          <w:szCs w:val="24"/>
        </w:rPr>
      </w:pPr>
      <w:bookmarkStart w:id="3" w:name="_heading=h.1fob9te"/>
      <w:bookmarkEnd w:id="3"/>
      <w:r>
        <w:rPr>
          <w:rFonts w:ascii="Liberation Serif" w:eastAsia="Liberation Serif" w:hAnsi="Liberation Serif" w:cs="Liberation Serif"/>
          <w:i/>
          <w:color w:val="000000"/>
          <w:sz w:val="24"/>
          <w:szCs w:val="24"/>
        </w:rPr>
        <w:t>Table 1 Components of the test system in phase 1.</w:t>
      </w:r>
    </w:p>
    <w:p w14:paraId="25DFDB7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identified terms used in the descriptions are shown in Figure 2.</w:t>
      </w:r>
    </w:p>
    <w:p w14:paraId="25DFDB72" w14:textId="77777777" w:rsidR="000566CC" w:rsidRDefault="002177CF">
      <w:pPr>
        <w:pStyle w:val="Heading2"/>
        <w:ind w:left="576" w:right="0" w:hanging="576"/>
      </w:pPr>
      <w:r>
        <w:t>Partners</w:t>
      </w:r>
    </w:p>
    <w:p w14:paraId="25DFDB73" w14:textId="77777777" w:rsidR="000566CC" w:rsidRDefault="002177CF">
      <w:pPr>
        <w:pStyle w:val="Heading3"/>
        <w:ind w:left="720" w:right="0" w:hanging="720"/>
      </w:pPr>
      <w:r>
        <w:t>Sternula</w:t>
      </w:r>
    </w:p>
    <w:p w14:paraId="25DFDB74"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Providing MMS Edge Routers for Ship and Shore compatible with SAAB equipment.</w:t>
      </w:r>
    </w:p>
    <w:p w14:paraId="25DFDB75"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Providing VDE-SAT coverage using Space Norway’s satellite “Norsat-2”. Providing test ship in Denmark with Danish partner of Sternula (equipped with SAAB R6 and Sternula MMS Proxy Ship).</w:t>
      </w:r>
    </w:p>
    <w:p w14:paraId="25DFDB76" w14:textId="77777777" w:rsidR="000566CC" w:rsidRDefault="002177CF">
      <w:pPr>
        <w:pStyle w:val="Heading1"/>
        <w:ind w:left="432" w:hanging="432"/>
      </w:pPr>
      <w:r>
        <w:t>Test Scenarios</w:t>
      </w:r>
    </w:p>
    <w:p w14:paraId="25DFDB77" w14:textId="77777777" w:rsidR="000566CC" w:rsidRDefault="002177CF">
      <w:pPr>
        <w:pStyle w:val="Heading2"/>
        <w:ind w:left="576" w:right="0" w:hanging="576"/>
      </w:pPr>
      <w:r>
        <w:t>Scenario 1: Shore to Ship broadcast via 4G</w:t>
      </w:r>
    </w:p>
    <w:p w14:paraId="25DFDB78"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Reference: Figure 1 Overview over the Phase 1 VDES/MMS Test bed</w:t>
      </w:r>
    </w:p>
    <w:p w14:paraId="25DFDB79"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Involved subsystems: see Figure 2, the red crossed systems are not relevant for this test.</w:t>
      </w:r>
    </w:p>
    <w:p w14:paraId="25DFDB7A" w14:textId="53EC41D6" w:rsidR="000566CC" w:rsidRDefault="002177CF">
      <w:pPr>
        <w:pStyle w:val="normal1"/>
      </w:pPr>
      <w:r>
        <w:rPr>
          <w:noProof/>
        </w:rPr>
        <w:lastRenderedPageBreak/>
        <w:drawing>
          <wp:inline distT="0" distB="0" distL="0" distR="0" wp14:anchorId="25DFDC59" wp14:editId="25DFDC5A">
            <wp:extent cx="6118225" cy="3411220"/>
            <wp:effectExtent l="0" t="0" r="0" b="0"/>
            <wp:docPr id="11" name="Image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 Copy 1"/>
                    <pic:cNvPicPr>
                      <a:picLocks noChangeAspect="1" noChangeArrowheads="1"/>
                    </pic:cNvPicPr>
                  </pic:nvPicPr>
                  <pic:blipFill>
                    <a:blip r:embed="rId28"/>
                    <a:stretch>
                      <a:fillRect/>
                    </a:stretch>
                  </pic:blipFill>
                  <pic:spPr bwMode="auto">
                    <a:xfrm>
                      <a:off x="0" y="0"/>
                      <a:ext cx="6118225" cy="3411220"/>
                    </a:xfrm>
                    <a:prstGeom prst="rect">
                      <a:avLst/>
                    </a:prstGeom>
                    <a:noFill/>
                  </pic:spPr>
                </pic:pic>
              </a:graphicData>
            </a:graphic>
          </wp:inline>
        </w:drawing>
      </w:r>
      <w:r w:rsidR="0043674F">
        <w:rPr>
          <w:noProof/>
        </w:rPr>
        <w:pict w14:anchorId="6CAD2484">
          <v:shapetype id="_x0000_t32" coordsize="21600,21600" o:spt="32" o:oned="t" path="m,l21600,21600e" filled="f">
            <v:path arrowok="t" fillok="f" o:connecttype="none"/>
            <o:lock v:ext="edit" shapetype="t"/>
          </v:shapetype>
          <v:shape id="Shape1" o:spid="_x0000_s1047" type="#_x0000_t32" style="position:absolute;margin-left:111pt;margin-top:73pt;width:45.65pt;height:39.85pt;z-index:251649024;visibility:visible;mso-wrap-style:square;mso-wrap-distance-left:1.05pt;mso-wrap-distance-top:1.2pt;mso-wrap-distance-right:1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" strokecolor="red" strokeweight="3pt">
            <v:stroke joinstyle="miter"/>
          </v:shape>
        </w:pict>
      </w:r>
      <w:r w:rsidR="0043674F">
        <w:rPr>
          <w:noProof/>
        </w:rPr>
        <w:pict w14:anchorId="0CD65392">
          <v:shape id="Shape2" o:spid="_x0000_s1046" type="#_x0000_t32" style="position:absolute;margin-left:109pt;margin-top:73pt;width:49.05pt;height:39.85pt;flip:x;z-index:251650048;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" strokecolor="red" strokeweight="3pt">
            <v:stroke joinstyle="miter"/>
          </v:shape>
        </w:pict>
      </w:r>
      <w:r w:rsidR="0043674F">
        <w:rPr>
          <w:noProof/>
        </w:rPr>
        <w:pict w14:anchorId="4862187A">
          <v:shape id="Shape4" o:spid="_x0000_s1045" type="#_x0000_t32" style="position:absolute;margin-left:159pt;margin-top:71pt;width:45.65pt;height:39.85pt;z-index:251651072;visibility:visible;mso-wrap-style:square;mso-wrap-distance-left:1.05pt;mso-wrap-distance-top:1.2pt;mso-wrap-distance-right:1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" strokecolor="red" strokeweight="3pt">
            <v:stroke joinstyle="miter"/>
          </v:shape>
        </w:pict>
      </w:r>
      <w:r w:rsidR="0043674F">
        <w:rPr>
          <w:noProof/>
        </w:rPr>
        <w:pict w14:anchorId="5C0F83D5">
          <v:shape id="Shape5" o:spid="_x0000_s1044" type="#_x0000_t32" style="position:absolute;margin-left:158pt;margin-top:71pt;width:49.05pt;height:39.85pt;flip:x;z-index:251652096;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" strokecolor="red" strokeweight="3pt">
            <v:stroke joinstyle="miter"/>
          </v:shape>
        </w:pict>
      </w:r>
      <w:r w:rsidR="0043674F">
        <w:rPr>
          <w:noProof/>
        </w:rPr>
        <w:pict w14:anchorId="183B00A0">
          <v:shape id="Shape6" o:spid="_x0000_s1043" type="#_x0000_t32" style="position:absolute;margin-left:205pt;margin-top:1in;width:45.6pt;height:39.85pt;z-index:251653120;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" strokecolor="red" strokeweight="3pt">
            <v:stroke joinstyle="miter"/>
          </v:shape>
        </w:pict>
      </w:r>
      <w:r w:rsidR="0043674F">
        <w:rPr>
          <w:noProof/>
        </w:rPr>
        <w:pict w14:anchorId="38E4A4F9">
          <v:shape id="Shape7" o:spid="_x0000_s1042" type="#_x0000_t32" style="position:absolute;margin-left:204pt;margin-top:1in;width:49.05pt;height:39.85pt;flip:x;z-index:251654144;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" strokecolor="red" strokeweight="3pt">
            <v:stroke joinstyle="miter"/>
          </v:shape>
        </w:pict>
      </w:r>
      <w:r w:rsidR="0043674F">
        <w:rPr>
          <w:noProof/>
        </w:rPr>
        <w:pict w14:anchorId="3A137A91">
          <v:shape id="Shape8" o:spid="_x0000_s1041" type="#_x0000_t32" style="position:absolute;margin-left:262pt;margin-top:76pt;width:45.6pt;height:39.85pt;z-index:251655168;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" strokecolor="red" strokeweight="3pt">
            <v:stroke joinstyle="miter"/>
          </v:shape>
        </w:pict>
      </w:r>
      <w:r w:rsidR="0043674F">
        <w:rPr>
          <w:noProof/>
        </w:rPr>
        <w:pict w14:anchorId="426F9434">
          <v:shape id="Shape9" o:spid="_x0000_s1040" type="#_x0000_t32" style="position:absolute;margin-left:261pt;margin-top:76pt;width:49.05pt;height:39.85pt;flip:x;z-index:251656192;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" strokecolor="red" strokeweight="3pt">
            <v:stroke joinstyle="miter"/>
          </v:shape>
        </w:pict>
      </w:r>
      <w:r w:rsidR="0043674F">
        <w:rPr>
          <w:noProof/>
        </w:rPr>
        <w:pict w14:anchorId="7F7FBD96">
          <v:shape id="Shape10" o:spid="_x0000_s1039" type="#_x0000_t32" style="position:absolute;margin-left:3pt;margin-top:1in;width:45.6pt;height:39.85pt;z-index:251657216;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" strokecolor="red" strokeweight="3pt">
            <v:stroke joinstyle="miter"/>
          </v:shape>
        </w:pict>
      </w:r>
      <w:r w:rsidR="0043674F">
        <w:rPr>
          <w:noProof/>
        </w:rPr>
        <w:pict w14:anchorId="11E55773">
          <v:shape id="Shape11" o:spid="_x0000_s1038" type="#_x0000_t32" style="position:absolute;margin-left:1pt;margin-top:1in;width:49.05pt;height:39.85pt;flip:x;z-index:251658240;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" strokecolor="red" strokeweight="3pt">
            <v:stroke joinstyle="miter"/>
          </v:shape>
        </w:pict>
      </w:r>
      <w:bookmarkStart w:id="4" w:name="_heading=h.3znysh7"/>
    </w:p>
    <w:bookmarkEnd w:id="4"/>
    <w:p w14:paraId="25DFDB7B" w14:textId="77777777" w:rsidR="000566CC" w:rsidRDefault="0043674F">
      <w:pPr>
        <w:pStyle w:val="normal1"/>
        <w:spacing w:before="120" w:after="120"/>
        <w:rPr>
          <w:rFonts w:ascii="Liberation Serif" w:eastAsia="Liberation Serif" w:hAnsi="Liberation Serif" w:cs="Liberation Serif"/>
          <w:i/>
          <w:color w:val="000000"/>
          <w:sz w:val="24"/>
          <w:szCs w:val="24"/>
        </w:rPr>
      </w:pPr>
      <w:sdt>
        <w:sdtPr>
          <w:id w:val="-450013439"/>
          <w:text/>
        </w:sdtPr>
        <w:sdtEndPr/>
        <w:sdtContent>
          <w:r w:rsidR="002177CF">
            <w:rPr>
              <w:rFonts w:ascii="Liberation Serif" w:eastAsia="Liberation Serif" w:hAnsi="Liberation Serif" w:cs="Liberation Serif"/>
              <w:i/>
              <w:color w:val="000000"/>
              <w:sz w:val="24"/>
              <w:szCs w:val="24"/>
            </w:rPr>
            <w:t>Figure 2 Shore to Ship broadcast via 4G, involved subsystems</w:t>
          </w:r>
        </w:sdtContent>
      </w:sdt>
    </w:p>
    <w:p w14:paraId="25DFDB7C" w14:textId="77777777" w:rsidR="000566CC" w:rsidRDefault="002177CF">
      <w:pPr>
        <w:pStyle w:val="Heading3"/>
        <w:ind w:left="720" w:right="0" w:hanging="720"/>
      </w:pPr>
      <w:r>
        <w:t>Purpose</w:t>
      </w:r>
    </w:p>
    <w:p w14:paraId="25DFDB7D"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purpose of this test is to verify that the SECOM Service, SECOM Gateway, and the MMS system components are properly integrated and can deliver data over an internet connection to the ChatSea application between the AIVeNautics and Sternula components.</w:t>
      </w:r>
    </w:p>
    <w:p w14:paraId="25DFDB7E" w14:textId="77777777" w:rsidR="000566CC" w:rsidRDefault="002177CF">
      <w:pPr>
        <w:pStyle w:val="Heading3"/>
        <w:ind w:left="720" w:right="0" w:hanging="720"/>
      </w:pPr>
      <w:r>
        <w:t>Test Log</w:t>
      </w:r>
    </w:p>
    <w:p w14:paraId="25DFDB7F" w14:textId="77777777" w:rsidR="000566CC" w:rsidRDefault="002177CF">
      <w:pPr>
        <w:pStyle w:val="normal1"/>
        <w:spacing w:after="140" w:line="288" w:lineRule="auto"/>
        <w:rPr>
          <w:rFonts w:ascii="Liberation Serif" w:eastAsia="Liberation Serif" w:hAnsi="Liberation Serif" w:cs="Liberation Serif"/>
          <w:color w:val="6AA84F"/>
          <w:sz w:val="24"/>
          <w:szCs w:val="24"/>
        </w:rPr>
      </w:pPr>
      <w:r>
        <w:rPr>
          <w:rFonts w:ascii="Liberation Serif" w:eastAsia="Liberation Serif" w:hAnsi="Liberation Serif" w:cs="Liberation Serif"/>
          <w:color w:val="000000"/>
          <w:sz w:val="24"/>
          <w:szCs w:val="24"/>
        </w:rPr>
        <w:t xml:space="preserve">The test was executed on the </w:t>
      </w:r>
      <w:r>
        <w:rPr>
          <w:rFonts w:ascii="Liberation Serif" w:eastAsia="Liberation Serif" w:hAnsi="Liberation Serif" w:cs="Liberation Serif"/>
          <w:color w:val="6AA84F"/>
          <w:sz w:val="24"/>
          <w:szCs w:val="24"/>
        </w:rPr>
        <w:t>202</w:t>
      </w:r>
      <w:r>
        <w:rPr>
          <w:color w:val="6AA84F"/>
        </w:rPr>
        <w:t>5</w:t>
      </w:r>
      <w:r>
        <w:rPr>
          <w:rFonts w:ascii="Liberation Serif" w:eastAsia="Liberation Serif" w:hAnsi="Liberation Serif" w:cs="Liberation Serif"/>
          <w:color w:val="6AA84F"/>
          <w:sz w:val="24"/>
          <w:szCs w:val="24"/>
        </w:rPr>
        <w:t>-</w:t>
      </w:r>
      <w:r>
        <w:rPr>
          <w:color w:val="6AA84F"/>
        </w:rPr>
        <w:t>01-29</w:t>
      </w:r>
    </w:p>
    <w:p w14:paraId="25DFDB80"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Following preparations were taken:</w:t>
      </w:r>
    </w:p>
    <w:p w14:paraId="25DFDB81"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VDES ship equipment was disconnected from the ship side Edge Router (Sternula MMS Proxy ship).</w:t>
      </w:r>
    </w:p>
    <w:p w14:paraId="25DFDB82" w14:textId="77777777" w:rsidR="000566CC" w:rsidRDefault="002177CF">
      <w:pPr>
        <w:pStyle w:val="normal1"/>
        <w:spacing w:after="140" w:line="288" w:lineRule="auto"/>
        <w:ind w:left="720"/>
      </w:pPr>
      <w:r>
        <w:t>The picture below show the VDES ship equipment was disconnected, and the 4G model was connected during the test.</w:t>
      </w:r>
    </w:p>
    <w:p w14:paraId="25DFDB83" w14:textId="77777777" w:rsidR="000566CC" w:rsidRDefault="002177CF">
      <w:pPr>
        <w:pStyle w:val="normal1"/>
        <w:spacing w:after="140" w:line="288" w:lineRule="auto"/>
        <w:ind w:left="720"/>
      </w:pPr>
      <w:r>
        <w:rPr>
          <w:noProof/>
        </w:rPr>
        <w:lastRenderedPageBreak/>
        <w:drawing>
          <wp:inline distT="0" distB="0" distL="0" distR="0" wp14:anchorId="25DFDC6F" wp14:editId="25DFDC70">
            <wp:extent cx="4046855" cy="4046855"/>
            <wp:effectExtent l="0" t="0" r="0" b="0"/>
            <wp:docPr id="22" name="im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2.jpg"/>
                    <pic:cNvPicPr>
                      <a:picLocks noChangeAspect="1" noChangeArrowheads="1"/>
                    </pic:cNvPicPr>
                  </pic:nvPicPr>
                  <pic:blipFill>
                    <a:blip r:embed="rId29"/>
                    <a:stretch>
                      <a:fillRect/>
                    </a:stretch>
                  </pic:blipFill>
                  <pic:spPr bwMode="auto">
                    <a:xfrm>
                      <a:off x="0" y="0"/>
                      <a:ext cx="4046855" cy="4046855"/>
                    </a:xfrm>
                    <a:prstGeom prst="rect">
                      <a:avLst/>
                    </a:prstGeom>
                    <a:noFill/>
                  </pic:spPr>
                </pic:pic>
              </a:graphicData>
            </a:graphic>
          </wp:inline>
        </w:drawing>
      </w:r>
    </w:p>
    <w:p w14:paraId="25DFDB84"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It was verified that the Sternula 4G modem was connected to the ship side Edge Router (Sternula MMS Proxy Ship).</w:t>
      </w:r>
    </w:p>
    <w:p w14:paraId="25DFDB85" w14:textId="77777777" w:rsidR="000566CC" w:rsidRDefault="002177CF">
      <w:pPr>
        <w:pStyle w:val="normal1"/>
        <w:spacing w:after="140" w:line="288" w:lineRule="auto"/>
        <w:ind w:left="720"/>
      </w:pPr>
      <w:r>
        <w:t>Same answer as 4.1.2.A</w:t>
      </w:r>
    </w:p>
    <w:p w14:paraId="25DFDB86"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ship side equipment was powered on.</w:t>
      </w:r>
    </w:p>
    <w:p w14:paraId="25DFDB87"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MMS Edge routers were initialized with maritime identities registered in the MIR.</w:t>
      </w:r>
    </w:p>
    <w:p w14:paraId="25DFDB88" w14:textId="77777777" w:rsidR="000566CC" w:rsidRDefault="002177CF">
      <w:pPr>
        <w:pStyle w:val="normal1"/>
        <w:spacing w:after="140" w:line="288" w:lineRule="auto"/>
        <w:ind w:left="720"/>
      </w:pPr>
      <w:r>
        <w:t>On the following two pictures, information for the certificate used on the Ship Edge Router</w:t>
      </w:r>
    </w:p>
    <w:p w14:paraId="25DFDB89" w14:textId="77777777" w:rsidR="000566CC" w:rsidRDefault="002177CF">
      <w:pPr>
        <w:pStyle w:val="normal1"/>
        <w:spacing w:after="140" w:line="288" w:lineRule="auto"/>
        <w:ind w:left="720"/>
      </w:pPr>
      <w:r>
        <w:rPr>
          <w:noProof/>
        </w:rPr>
        <w:drawing>
          <wp:inline distT="0" distB="0" distL="0" distR="0" wp14:anchorId="25DFDC71" wp14:editId="25DFDC72">
            <wp:extent cx="4046855" cy="2800350"/>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png"/>
                    <pic:cNvPicPr>
                      <a:picLocks noChangeAspect="1" noChangeArrowheads="1"/>
                    </pic:cNvPicPr>
                  </pic:nvPicPr>
                  <pic:blipFill>
                    <a:blip r:embed="rId30"/>
                    <a:stretch>
                      <a:fillRect/>
                    </a:stretch>
                  </pic:blipFill>
                  <pic:spPr bwMode="auto">
                    <a:xfrm>
                      <a:off x="0" y="0"/>
                      <a:ext cx="4046855" cy="2800350"/>
                    </a:xfrm>
                    <a:prstGeom prst="rect">
                      <a:avLst/>
                    </a:prstGeom>
                    <a:noFill/>
                  </pic:spPr>
                </pic:pic>
              </a:graphicData>
            </a:graphic>
          </wp:inline>
        </w:drawing>
      </w:r>
    </w:p>
    <w:p w14:paraId="25DFDB8A" w14:textId="77777777" w:rsidR="000566CC" w:rsidRDefault="002177CF">
      <w:pPr>
        <w:pStyle w:val="normal1"/>
        <w:spacing w:after="140" w:line="288" w:lineRule="auto"/>
        <w:ind w:left="720"/>
      </w:pPr>
      <w:r>
        <w:lastRenderedPageBreak/>
        <w:t>The picture below shows the certificate to be part of MCP’s MIR</w:t>
      </w:r>
    </w:p>
    <w:p w14:paraId="25DFDB8B" w14:textId="77777777" w:rsidR="000566CC" w:rsidRDefault="002177CF">
      <w:pPr>
        <w:pStyle w:val="normal1"/>
        <w:spacing w:after="140" w:line="288" w:lineRule="auto"/>
        <w:ind w:left="720"/>
      </w:pPr>
      <w:r>
        <w:rPr>
          <w:noProof/>
        </w:rPr>
        <w:drawing>
          <wp:inline distT="0" distB="0" distL="0" distR="0" wp14:anchorId="25DFDC73" wp14:editId="25DFDC74">
            <wp:extent cx="6120130" cy="3073400"/>
            <wp:effectExtent l="0" t="0" r="0" b="0"/>
            <wp:docPr id="24"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a:picLocks noChangeAspect="1" noChangeArrowheads="1"/>
                    </pic:cNvPicPr>
                  </pic:nvPicPr>
                  <pic:blipFill>
                    <a:blip r:embed="rId31"/>
                    <a:stretch>
                      <a:fillRect/>
                    </a:stretch>
                  </pic:blipFill>
                  <pic:spPr bwMode="auto">
                    <a:xfrm>
                      <a:off x="0" y="0"/>
                      <a:ext cx="6120130" cy="3073400"/>
                    </a:xfrm>
                    <a:prstGeom prst="rect">
                      <a:avLst/>
                    </a:prstGeom>
                    <a:noFill/>
                  </pic:spPr>
                </pic:pic>
              </a:graphicData>
            </a:graphic>
          </wp:inline>
        </w:drawing>
      </w:r>
    </w:p>
    <w:p w14:paraId="25DFDB8C" w14:textId="77777777" w:rsidR="000566CC" w:rsidRDefault="002177CF">
      <w:pPr>
        <w:pStyle w:val="normal1"/>
        <w:spacing w:after="140" w:line="288" w:lineRule="auto"/>
        <w:ind w:left="720"/>
      </w:pPr>
      <w:r>
        <w:t>Below the certificates from the AIVeNautics Edge Routers are shown.</w:t>
      </w:r>
    </w:p>
    <w:p w14:paraId="25DFDB8D" w14:textId="77777777" w:rsidR="000566CC" w:rsidRDefault="002177CF">
      <w:pPr>
        <w:pStyle w:val="normal1"/>
        <w:spacing w:after="140" w:line="288" w:lineRule="auto"/>
      </w:pPr>
      <w:r>
        <w:tab/>
      </w:r>
      <w:r>
        <w:rPr>
          <w:noProof/>
        </w:rPr>
        <w:drawing>
          <wp:inline distT="0" distB="0" distL="0" distR="0" wp14:anchorId="25DFDC75" wp14:editId="25DFDC76">
            <wp:extent cx="6120130" cy="3340100"/>
            <wp:effectExtent l="0" t="0" r="0" b="0"/>
            <wp:docPr id="25"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40.png"/>
                    <pic:cNvPicPr>
                      <a:picLocks noChangeAspect="1" noChangeArrowheads="1"/>
                    </pic:cNvPicPr>
                  </pic:nvPicPr>
                  <pic:blipFill>
                    <a:blip r:embed="rId32"/>
                    <a:stretch>
                      <a:fillRect/>
                    </a:stretch>
                  </pic:blipFill>
                  <pic:spPr bwMode="auto">
                    <a:xfrm>
                      <a:off x="0" y="0"/>
                      <a:ext cx="6120130" cy="3340100"/>
                    </a:xfrm>
                    <a:prstGeom prst="rect">
                      <a:avLst/>
                    </a:prstGeom>
                    <a:noFill/>
                  </pic:spPr>
                </pic:pic>
              </a:graphicData>
            </a:graphic>
          </wp:inline>
        </w:drawing>
      </w:r>
    </w:p>
    <w:p w14:paraId="25DFDB8E" w14:textId="77777777" w:rsidR="000566CC" w:rsidRDefault="002177CF">
      <w:pPr>
        <w:pStyle w:val="normal1"/>
        <w:spacing w:after="140" w:line="288" w:lineRule="auto"/>
      </w:pPr>
      <w:r>
        <w:t>AIVeNautics Edge Router 1 certificate</w:t>
      </w:r>
    </w:p>
    <w:p w14:paraId="25DFDB8F" w14:textId="77777777" w:rsidR="000566CC" w:rsidRDefault="002177CF">
      <w:pPr>
        <w:pStyle w:val="normal1"/>
        <w:spacing w:after="140" w:line="288" w:lineRule="auto"/>
      </w:pPr>
      <w:r>
        <w:rPr>
          <w:noProof/>
        </w:rPr>
        <w:lastRenderedPageBreak/>
        <w:drawing>
          <wp:inline distT="0" distB="0" distL="0" distR="0" wp14:anchorId="25DFDC77" wp14:editId="25DFDC78">
            <wp:extent cx="6120130" cy="3340100"/>
            <wp:effectExtent l="0" t="0" r="0" b="0"/>
            <wp:docPr id="26"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png"/>
                    <pic:cNvPicPr>
                      <a:picLocks noChangeAspect="1" noChangeArrowheads="1"/>
                    </pic:cNvPicPr>
                  </pic:nvPicPr>
                  <pic:blipFill>
                    <a:blip r:embed="rId33"/>
                    <a:stretch>
                      <a:fillRect/>
                    </a:stretch>
                  </pic:blipFill>
                  <pic:spPr bwMode="auto">
                    <a:xfrm>
                      <a:off x="0" y="0"/>
                      <a:ext cx="6120130" cy="3340100"/>
                    </a:xfrm>
                    <a:prstGeom prst="rect">
                      <a:avLst/>
                    </a:prstGeom>
                    <a:noFill/>
                  </pic:spPr>
                </pic:pic>
              </a:graphicData>
            </a:graphic>
          </wp:inline>
        </w:drawing>
      </w:r>
    </w:p>
    <w:p w14:paraId="25DFDB90" w14:textId="77777777" w:rsidR="000566CC" w:rsidRDefault="002177CF">
      <w:pPr>
        <w:pStyle w:val="normal1"/>
        <w:spacing w:after="140" w:line="288" w:lineRule="auto"/>
      </w:pPr>
      <w:r>
        <w:t>AIVeNautics Edge Router 2 certificate</w:t>
      </w:r>
    </w:p>
    <w:p w14:paraId="25DFDB91" w14:textId="77777777" w:rsidR="000566CC" w:rsidRDefault="000566CC">
      <w:pPr>
        <w:pStyle w:val="normal1"/>
        <w:spacing w:after="140" w:line="288" w:lineRule="auto"/>
      </w:pPr>
    </w:p>
    <w:p w14:paraId="25DFDB92" w14:textId="77777777" w:rsidR="000566CC" w:rsidRDefault="0043674F">
      <w:pPr>
        <w:pStyle w:val="normal1"/>
        <w:numPr>
          <w:ilvl w:val="0"/>
          <w:numId w:val="2"/>
        </w:numPr>
        <w:spacing w:after="140" w:line="288" w:lineRule="auto"/>
        <w:ind w:left="720"/>
        <w:rPr>
          <w:color w:val="FF0000"/>
        </w:rPr>
      </w:pPr>
      <w:sdt>
        <w:sdtPr>
          <w:tag w:val="goog_rdk_21"/>
          <w:id w:val="103850612"/>
        </w:sdtPr>
        <w:sdtEndPr/>
        <w:sdtContent/>
      </w:sdt>
      <w:r w:rsidR="002177CF">
        <w:rPr>
          <w:color w:val="FF0000"/>
        </w:rPr>
        <w:t>The SECOM Gateway was initialized to pull the list of actually active navigational warnings from the Australian S-124 service in 5-minute intervals and send them to the MMS router network.</w:t>
      </w:r>
    </w:p>
    <w:p w14:paraId="25DFDB93" w14:textId="77777777" w:rsidR="000566CC" w:rsidRDefault="002177CF">
      <w:pPr>
        <w:pStyle w:val="normal1"/>
        <w:spacing w:after="140" w:line="288" w:lineRule="auto"/>
        <w:ind w:left="720"/>
        <w:rPr>
          <w:color w:val="6AA84F"/>
        </w:rPr>
      </w:pPr>
      <w:r>
        <w:t xml:space="preserve">(e) </w:t>
      </w:r>
      <w:r>
        <w:rPr>
          <w:color w:val="6AA84F"/>
        </w:rPr>
        <w:t>The SECOM Gateway was initialized to subscribe to S-124 navigational warnings from the Danish Maritime Authority.</w:t>
      </w:r>
    </w:p>
    <w:p w14:paraId="25DFDB94" w14:textId="77777777" w:rsidR="000566CC" w:rsidRDefault="002177CF">
      <w:pPr>
        <w:pStyle w:val="normal1"/>
        <w:spacing w:after="140" w:line="288" w:lineRule="auto"/>
        <w:rPr>
          <w:color w:val="6AA84F"/>
        </w:rPr>
      </w:pPr>
      <w:r>
        <w:rPr>
          <w:color w:val="6AA84F"/>
        </w:rPr>
        <w:tab/>
      </w:r>
      <w:r>
        <w:rPr>
          <w:noProof/>
        </w:rPr>
        <w:drawing>
          <wp:inline distT="0" distB="0" distL="0" distR="0" wp14:anchorId="25DFDC79" wp14:editId="25DFDC7A">
            <wp:extent cx="6120130" cy="1168400"/>
            <wp:effectExtent l="0" t="0" r="0" b="0"/>
            <wp:docPr id="2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7.png"/>
                    <pic:cNvPicPr>
                      <a:picLocks noChangeAspect="1" noChangeArrowheads="1"/>
                    </pic:cNvPicPr>
                  </pic:nvPicPr>
                  <pic:blipFill>
                    <a:blip r:embed="rId34"/>
                    <a:stretch>
                      <a:fillRect/>
                    </a:stretch>
                  </pic:blipFill>
                  <pic:spPr bwMode="auto">
                    <a:xfrm>
                      <a:off x="0" y="0"/>
                      <a:ext cx="6120130" cy="1168400"/>
                    </a:xfrm>
                    <a:prstGeom prst="rect">
                      <a:avLst/>
                    </a:prstGeom>
                    <a:noFill/>
                  </pic:spPr>
                </pic:pic>
              </a:graphicData>
            </a:graphic>
          </wp:inline>
        </w:drawing>
      </w:r>
    </w:p>
    <w:p w14:paraId="25DFDB95" w14:textId="77777777" w:rsidR="000566CC" w:rsidRDefault="002177CF">
      <w:pPr>
        <w:pStyle w:val="normal1"/>
        <w:spacing w:after="140" w:line="288" w:lineRule="auto"/>
      </w:pPr>
      <w:r>
        <w:t>Screenshot from MMS Gateway, showing the initialization of the MMS Gateway.</w:t>
      </w:r>
    </w:p>
    <w:p w14:paraId="25DFDB96"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ChatSea Application was started and connected to the Sternula MMS Proxy Ship (Ship side Edge Router), and it was verified that the ChatSea application did not show any previously downloaded data </w:t>
      </w:r>
      <w:r>
        <w:rPr>
          <w:rFonts w:ascii="Liberation Serif" w:eastAsia="Liberation Serif" w:hAnsi="Liberation Serif" w:cs="Liberation Serif"/>
          <w:color w:val="FF0000"/>
          <w:sz w:val="24"/>
          <w:szCs w:val="24"/>
        </w:rPr>
        <w:t>(Australian map is free from S-124 data).</w:t>
      </w:r>
      <w:r>
        <w:rPr>
          <w:noProof/>
        </w:rPr>
        <w:lastRenderedPageBreak/>
        <w:drawing>
          <wp:inline distT="0" distB="0" distL="0" distR="0" wp14:anchorId="25DFDC7B" wp14:editId="25DFDC7C">
            <wp:extent cx="3109595" cy="3080385"/>
            <wp:effectExtent l="0" t="0" r="0" b="0"/>
            <wp:docPr id="28"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3.png"/>
                    <pic:cNvPicPr>
                      <a:picLocks noChangeAspect="1" noChangeArrowheads="1"/>
                    </pic:cNvPicPr>
                  </pic:nvPicPr>
                  <pic:blipFill>
                    <a:blip r:embed="rId35"/>
                    <a:stretch>
                      <a:fillRect/>
                    </a:stretch>
                  </pic:blipFill>
                  <pic:spPr bwMode="auto">
                    <a:xfrm>
                      <a:off x="0" y="0"/>
                      <a:ext cx="3109595" cy="3080385"/>
                    </a:xfrm>
                    <a:prstGeom prst="rect">
                      <a:avLst/>
                    </a:prstGeom>
                    <a:noFill/>
                  </pic:spPr>
                </pic:pic>
              </a:graphicData>
            </a:graphic>
          </wp:inline>
        </w:drawing>
      </w:r>
      <w:r>
        <w:rPr>
          <w:noProof/>
        </w:rPr>
        <w:drawing>
          <wp:inline distT="0" distB="0" distL="0" distR="0" wp14:anchorId="25DFDC7D" wp14:editId="25DFDC7E">
            <wp:extent cx="3418840" cy="1642745"/>
            <wp:effectExtent l="0" t="0" r="0" b="0"/>
            <wp:docPr id="2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39.png"/>
                    <pic:cNvPicPr>
                      <a:picLocks noChangeAspect="1" noChangeArrowheads="1"/>
                    </pic:cNvPicPr>
                  </pic:nvPicPr>
                  <pic:blipFill>
                    <a:blip r:embed="rId36"/>
                    <a:stretch>
                      <a:fillRect/>
                    </a:stretch>
                  </pic:blipFill>
                  <pic:spPr bwMode="auto">
                    <a:xfrm>
                      <a:off x="0" y="0"/>
                      <a:ext cx="3418840" cy="1642745"/>
                    </a:xfrm>
                    <a:prstGeom prst="rect">
                      <a:avLst/>
                    </a:prstGeom>
                    <a:noFill/>
                  </pic:spPr>
                </pic:pic>
              </a:graphicData>
            </a:graphic>
          </wp:inline>
        </w:drawing>
      </w:r>
    </w:p>
    <w:p w14:paraId="25DFDB97" w14:textId="77777777" w:rsidR="000566CC" w:rsidRDefault="002177CF">
      <w:pPr>
        <w:pStyle w:val="normal1"/>
        <w:spacing w:after="140" w:line="288" w:lineRule="auto"/>
        <w:ind w:left="720"/>
        <w:rPr>
          <w:color w:val="6AA84F"/>
        </w:rPr>
      </w:pPr>
      <w:r>
        <w:t>The above figures show the ChatSea front- and backend. From the backend log, we see that ChatSea is connected to Sternulas MMS Proxy Ship</w:t>
      </w:r>
    </w:p>
    <w:p w14:paraId="25DFDB98"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ChatSea Application subscribed to MMS specific MRN of the S-124 navigational warning service from Australia (“AMSA NAVAREA X Warnings”).</w:t>
      </w:r>
    </w:p>
    <w:p w14:paraId="25DFDB99" w14:textId="77777777" w:rsidR="000566CC" w:rsidRDefault="002177CF">
      <w:pPr>
        <w:pStyle w:val="normal1"/>
        <w:spacing w:after="140" w:line="288" w:lineRule="auto"/>
        <w:ind w:left="720"/>
        <w:rPr>
          <w:color w:val="6AA84F"/>
        </w:rPr>
      </w:pPr>
      <w:r>
        <w:rPr>
          <w:color w:val="6AA84F"/>
        </w:rPr>
        <w:t>(g) The ChatSea Application subscribed to MMS specific MRN of the S-124 navigational warning service from AIVeNautics.</w:t>
      </w:r>
    </w:p>
    <w:p w14:paraId="25DFDB9A" w14:textId="77777777" w:rsidR="000566CC" w:rsidRDefault="002177CF">
      <w:pPr>
        <w:pStyle w:val="normal1"/>
        <w:spacing w:after="140" w:line="288" w:lineRule="auto"/>
        <w:ind w:left="720"/>
        <w:rPr>
          <w:color w:val="6AA84F"/>
        </w:rPr>
      </w:pPr>
      <w:r>
        <w:rPr>
          <w:noProof/>
        </w:rPr>
        <w:lastRenderedPageBreak/>
        <w:drawing>
          <wp:inline distT="0" distB="0" distL="0" distR="0" wp14:anchorId="25DFDC7F" wp14:editId="25DFDC80">
            <wp:extent cx="3771265" cy="2555875"/>
            <wp:effectExtent l="0" t="0" r="0" b="0"/>
            <wp:docPr id="30"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6.png"/>
                    <pic:cNvPicPr>
                      <a:picLocks noChangeAspect="1" noChangeArrowheads="1"/>
                    </pic:cNvPicPr>
                  </pic:nvPicPr>
                  <pic:blipFill>
                    <a:blip r:embed="rId37"/>
                    <a:stretch>
                      <a:fillRect/>
                    </a:stretch>
                  </pic:blipFill>
                  <pic:spPr bwMode="auto">
                    <a:xfrm>
                      <a:off x="0" y="0"/>
                      <a:ext cx="3771265" cy="2555875"/>
                    </a:xfrm>
                    <a:prstGeom prst="rect">
                      <a:avLst/>
                    </a:prstGeom>
                    <a:noFill/>
                  </pic:spPr>
                </pic:pic>
              </a:graphicData>
            </a:graphic>
          </wp:inline>
        </w:drawing>
      </w:r>
      <w:r>
        <w:rPr>
          <w:color w:val="6AA84F"/>
        </w:rPr>
        <w:t>r</w:t>
      </w:r>
    </w:p>
    <w:p w14:paraId="25DFDB9B" w14:textId="77777777" w:rsidR="000566CC" w:rsidRDefault="002177CF">
      <w:pPr>
        <w:pStyle w:val="normal1"/>
        <w:spacing w:after="140" w:line="288" w:lineRule="auto"/>
        <w:ind w:left="720"/>
        <w:rPr>
          <w:color w:val="6AA84F"/>
        </w:rPr>
      </w:pPr>
      <w:r>
        <w:rPr>
          <w:noProof/>
        </w:rPr>
        <w:drawing>
          <wp:inline distT="0" distB="0" distL="0" distR="0" wp14:anchorId="25DFDC81" wp14:editId="25DFDC82">
            <wp:extent cx="3519805" cy="3002280"/>
            <wp:effectExtent l="0" t="0" r="0" b="0"/>
            <wp:docPr id="3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6.png"/>
                    <pic:cNvPicPr>
                      <a:picLocks noChangeAspect="1" noChangeArrowheads="1"/>
                    </pic:cNvPicPr>
                  </pic:nvPicPr>
                  <pic:blipFill>
                    <a:blip r:embed="rId38"/>
                    <a:stretch>
                      <a:fillRect/>
                    </a:stretch>
                  </pic:blipFill>
                  <pic:spPr bwMode="auto">
                    <a:xfrm>
                      <a:off x="0" y="0"/>
                      <a:ext cx="3519805" cy="3002280"/>
                    </a:xfrm>
                    <a:prstGeom prst="rect">
                      <a:avLst/>
                    </a:prstGeom>
                    <a:noFill/>
                  </pic:spPr>
                </pic:pic>
              </a:graphicData>
            </a:graphic>
          </wp:inline>
        </w:drawing>
      </w:r>
    </w:p>
    <w:p w14:paraId="25DFDB9C" w14:textId="77777777" w:rsidR="000566CC" w:rsidRDefault="002177CF">
      <w:pPr>
        <w:pStyle w:val="normal1"/>
        <w:spacing w:after="140" w:line="288" w:lineRule="auto"/>
        <w:ind w:left="720"/>
      </w:pPr>
      <w:r>
        <w:t>The above figures show the ChatSea front- and backend. From the backend log, we see that ChatSea is requesting and eventually subscribed to subject “s-124” through Sternulas MMS Proxy Ship.</w:t>
      </w:r>
    </w:p>
    <w:p w14:paraId="25DFDB9D"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Wait 5 minutes to allow for the updated list to penetrate to the ship side </w:t>
      </w:r>
      <w:r>
        <w:t>E</w:t>
      </w:r>
      <w:r>
        <w:rPr>
          <w:rFonts w:ascii="Liberation Serif" w:eastAsia="Liberation Serif" w:hAnsi="Liberation Serif" w:cs="Liberation Serif"/>
          <w:color w:val="000000"/>
          <w:sz w:val="24"/>
          <w:szCs w:val="24"/>
        </w:rPr>
        <w:t>dge</w:t>
      </w:r>
      <w:r>
        <w:t xml:space="preserve"> R</w:t>
      </w:r>
      <w:r>
        <w:rPr>
          <w:rFonts w:ascii="Liberation Serif" w:eastAsia="Liberation Serif" w:hAnsi="Liberation Serif" w:cs="Liberation Serif"/>
          <w:color w:val="000000"/>
          <w:sz w:val="24"/>
          <w:szCs w:val="24"/>
        </w:rPr>
        <w:t>outer.</w:t>
      </w:r>
    </w:p>
    <w:p w14:paraId="25DFDB9E"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following results were observed:</w:t>
      </w:r>
    </w:p>
    <w:p w14:paraId="25DFDB9F" w14:textId="77777777" w:rsidR="000566CC" w:rsidRDefault="0043674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sdt>
        <w:sdtPr>
          <w:tag w:val="goog_rdk_23"/>
          <w:id w:val="-1497724665"/>
        </w:sdtPr>
        <w:sdtEndPr/>
        <w:sdtContent>
          <w:r w:rsidR="002177CF">
            <w:rPr>
              <w:rFonts w:ascii="Liberation Serif" w:eastAsia="Liberation Serif" w:hAnsi="Liberation Serif" w:cs="Liberation Serif"/>
              <w:color w:val="000000"/>
              <w:sz w:val="24"/>
              <w:szCs w:val="24"/>
            </w:rPr>
            <w:t>The ChatSea Application’s subscribe can be verified in logs of the Sternula MMS Proxy Ship and the Sternula MMS Proxy Shore, and the Router Network.</w:t>
          </w:r>
        </w:sdtContent>
      </w:sdt>
    </w:p>
    <w:p w14:paraId="25DFDBA0" w14:textId="77777777" w:rsidR="000566CC" w:rsidRDefault="0043674F">
      <w:pPr>
        <w:pStyle w:val="normal1"/>
        <w:spacing w:after="140" w:line="288" w:lineRule="auto"/>
        <w:ind w:left="720"/>
      </w:pPr>
      <w:sdt>
        <w:sdtPr>
          <w:tag w:val="goog_rdk_25"/>
          <w:id w:val="612090318"/>
        </w:sdtPr>
        <w:sdtEndPr/>
        <w:sdtContent>
          <w:r w:rsidR="002177CF">
            <w:t>From the picture below it can be seen that the ChatSea application subscribed to s-124</w:t>
          </w:r>
        </w:sdtContent>
      </w:sdt>
    </w:p>
    <w:p w14:paraId="25DFDBA1" w14:textId="77777777" w:rsidR="000566CC" w:rsidRDefault="0043674F">
      <w:pPr>
        <w:pStyle w:val="normal1"/>
        <w:spacing w:after="140" w:line="288" w:lineRule="auto"/>
        <w:ind w:left="720"/>
      </w:pPr>
      <w:sdt>
        <w:sdtPr>
          <w:tag w:val="goog_rdk_27"/>
          <w:id w:val="1334955212"/>
        </w:sdtPr>
        <w:sdtEndPr/>
        <w:sdtContent>
          <w:r w:rsidR="002177CF">
            <w:rPr>
              <w:noProof/>
            </w:rPr>
            <w:drawing>
              <wp:inline distT="0" distB="0" distL="0" distR="0" wp14:anchorId="25DFDC83" wp14:editId="25DFDC84">
                <wp:extent cx="6405245" cy="2231390"/>
                <wp:effectExtent l="0" t="0" r="0" b="0"/>
                <wp:docPr id="32"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png"/>
                        <pic:cNvPicPr>
                          <a:picLocks noChangeAspect="1" noChangeArrowheads="1"/>
                        </pic:cNvPicPr>
                      </pic:nvPicPr>
                      <pic:blipFill>
                        <a:blip r:embed="rId39"/>
                        <a:stretch>
                          <a:fillRect/>
                        </a:stretch>
                      </pic:blipFill>
                      <pic:spPr bwMode="auto">
                        <a:xfrm>
                          <a:off x="0" y="0"/>
                          <a:ext cx="6405245" cy="2231390"/>
                        </a:xfrm>
                        <a:prstGeom prst="rect">
                          <a:avLst/>
                        </a:prstGeom>
                        <a:noFill/>
                      </pic:spPr>
                    </pic:pic>
                  </a:graphicData>
                </a:graphic>
              </wp:inline>
            </w:drawing>
          </w:r>
        </w:sdtContent>
      </w:sdt>
    </w:p>
    <w:p w14:paraId="25DFDBA2" w14:textId="77777777" w:rsidR="000566CC" w:rsidRDefault="0043674F">
      <w:pPr>
        <w:pStyle w:val="normal1"/>
        <w:spacing w:after="140" w:line="288" w:lineRule="auto"/>
        <w:ind w:left="720"/>
      </w:pPr>
      <w:sdt>
        <w:sdtPr>
          <w:tag w:val="goog_rdk_29"/>
          <w:id w:val="470570554"/>
        </w:sdtPr>
        <w:sdtEndPr/>
        <w:sdtContent/>
      </w:sdt>
    </w:p>
    <w:p w14:paraId="25DFDBA3"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currently active navigational warnings from Australia were received and displayed on the ChatSea application.</w:t>
      </w:r>
    </w:p>
    <w:p w14:paraId="25DFDBA4" w14:textId="77777777" w:rsidR="000566CC" w:rsidRDefault="002177CF">
      <w:pPr>
        <w:pStyle w:val="normal1"/>
        <w:spacing w:after="140" w:line="288" w:lineRule="auto"/>
        <w:ind w:left="720"/>
        <w:rPr>
          <w:color w:val="6AA84F"/>
        </w:rPr>
      </w:pPr>
      <w:r>
        <w:rPr>
          <w:color w:val="6AA84F"/>
        </w:rPr>
        <w:t>(j) The currently broadcasted active navigational warning from Denmark was received and displayed on the ChatSea application.</w:t>
      </w:r>
    </w:p>
    <w:p w14:paraId="25DFDBA5" w14:textId="77777777" w:rsidR="000566CC" w:rsidRDefault="002177CF">
      <w:pPr>
        <w:pStyle w:val="normal1"/>
        <w:spacing w:after="140" w:line="288" w:lineRule="auto"/>
        <w:ind w:left="720"/>
        <w:rPr>
          <w:color w:val="6AA84F"/>
        </w:rPr>
      </w:pPr>
      <w:r>
        <w:rPr>
          <w:noProof/>
        </w:rPr>
        <w:lastRenderedPageBreak/>
        <w:drawing>
          <wp:inline distT="0" distB="0" distL="0" distR="0" wp14:anchorId="25DFDC85" wp14:editId="25DFDC86">
            <wp:extent cx="3295015" cy="6910070"/>
            <wp:effectExtent l="0" t="0" r="0" b="0"/>
            <wp:docPr id="33"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44.png"/>
                    <pic:cNvPicPr>
                      <a:picLocks noChangeAspect="1" noChangeArrowheads="1"/>
                    </pic:cNvPicPr>
                  </pic:nvPicPr>
                  <pic:blipFill>
                    <a:blip r:embed="rId40"/>
                    <a:stretch>
                      <a:fillRect/>
                    </a:stretch>
                  </pic:blipFill>
                  <pic:spPr bwMode="auto">
                    <a:xfrm>
                      <a:off x="0" y="0"/>
                      <a:ext cx="3295015" cy="6910070"/>
                    </a:xfrm>
                    <a:prstGeom prst="rect">
                      <a:avLst/>
                    </a:prstGeom>
                    <a:noFill/>
                  </pic:spPr>
                </pic:pic>
              </a:graphicData>
            </a:graphic>
          </wp:inline>
        </w:drawing>
      </w:r>
    </w:p>
    <w:p w14:paraId="25DFDBA6" w14:textId="77777777" w:rsidR="000566CC" w:rsidRDefault="002177CF">
      <w:pPr>
        <w:pStyle w:val="normal1"/>
        <w:spacing w:after="140" w:line="288" w:lineRule="auto"/>
        <w:ind w:left="720"/>
      </w:pPr>
      <w:r>
        <w:t>The navigational warning is consumed and displayed.</w:t>
      </w:r>
    </w:p>
    <w:p w14:paraId="25DFDBA7" w14:textId="77777777" w:rsidR="000566CC" w:rsidRDefault="002177CF">
      <w:pPr>
        <w:pStyle w:val="normal1"/>
        <w:numPr>
          <w:ilvl w:val="0"/>
          <w:numId w:val="2"/>
        </w:numPr>
        <w:spacing w:after="140" w:line="288" w:lineRule="auto"/>
        <w:ind w:left="72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displayed navigational warnings were compared to the ones seen on </w:t>
      </w:r>
      <w:hyperlink r:id="rId41">
        <w:r>
          <w:rPr>
            <w:rFonts w:ascii="Liberation Serif" w:eastAsia="Liberation Serif" w:hAnsi="Liberation Serif" w:cs="Liberation Serif"/>
            <w:color w:val="467886"/>
            <w:sz w:val="24"/>
            <w:szCs w:val="24"/>
            <w:u w:val="single"/>
          </w:rPr>
          <w:t>https://navui.amsaconnectivity.net</w:t>
        </w:r>
      </w:hyperlink>
      <w:r>
        <w:rPr>
          <w:rFonts w:ascii="Liberation Serif" w:eastAsia="Liberation Serif" w:hAnsi="Liberation Serif" w:cs="Liberation Serif"/>
          <w:color w:val="000000"/>
          <w:sz w:val="24"/>
          <w:szCs w:val="24"/>
        </w:rPr>
        <w:t xml:space="preserve"> and found to be identical.</w:t>
      </w:r>
    </w:p>
    <w:p w14:paraId="25DFDBA8" w14:textId="77777777" w:rsidR="000566CC" w:rsidRDefault="002177CF">
      <w:pPr>
        <w:pStyle w:val="normal1"/>
        <w:spacing w:after="140" w:line="288" w:lineRule="auto"/>
        <w:ind w:left="720"/>
      </w:pPr>
      <w:r>
        <w:rPr>
          <w:noProof/>
        </w:rPr>
        <w:lastRenderedPageBreak/>
        <w:drawing>
          <wp:inline distT="0" distB="0" distL="0" distR="0" wp14:anchorId="25DFDC87" wp14:editId="25DFDC88">
            <wp:extent cx="4457065" cy="5302250"/>
            <wp:effectExtent l="0" t="0" r="0" b="0"/>
            <wp:docPr id="34"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1.png"/>
                    <pic:cNvPicPr>
                      <a:picLocks noChangeAspect="1" noChangeArrowheads="1"/>
                    </pic:cNvPicPr>
                  </pic:nvPicPr>
                  <pic:blipFill>
                    <a:blip r:embed="rId42"/>
                    <a:stretch>
                      <a:fillRect/>
                    </a:stretch>
                  </pic:blipFill>
                  <pic:spPr bwMode="auto">
                    <a:xfrm>
                      <a:off x="0" y="0"/>
                      <a:ext cx="4457065" cy="5302250"/>
                    </a:xfrm>
                    <a:prstGeom prst="rect">
                      <a:avLst/>
                    </a:prstGeom>
                    <a:noFill/>
                  </pic:spPr>
                </pic:pic>
              </a:graphicData>
            </a:graphic>
          </wp:inline>
        </w:drawing>
      </w:r>
    </w:p>
    <w:p w14:paraId="25DFDBA9" w14:textId="77777777" w:rsidR="000566CC" w:rsidRDefault="002177CF">
      <w:pPr>
        <w:pStyle w:val="normal1"/>
        <w:spacing w:after="140" w:line="288" w:lineRule="auto"/>
        <w:ind w:left="720"/>
      </w:pPr>
      <w:r>
        <w:t xml:space="preserve">An identical navigation warning, was found at </w:t>
      </w:r>
      <w:hyperlink r:id="rId43">
        <w:r>
          <w:rPr>
            <w:color w:val="1155CC"/>
            <w:u w:val="single"/>
          </w:rPr>
          <w:t>https://navui.amsaconnectivity.net/</w:t>
        </w:r>
      </w:hyperlink>
      <w:r>
        <w:t xml:space="preserve"> </w:t>
      </w:r>
    </w:p>
    <w:p w14:paraId="25DFDBAA"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Based on the above observations, the test was deemed to be successful. </w:t>
      </w:r>
      <w:r>
        <w:rPr>
          <w:rFonts w:ascii="Liberation Serif" w:eastAsia="Liberation Serif" w:hAnsi="Liberation Serif" w:cs="Liberation Serif"/>
          <w:b/>
          <w:color w:val="3A7D22"/>
          <w:sz w:val="24"/>
          <w:szCs w:val="24"/>
        </w:rPr>
        <w:t>[PASS]</w:t>
      </w:r>
    </w:p>
    <w:p w14:paraId="25DFDBAB" w14:textId="77777777" w:rsidR="000566CC" w:rsidRDefault="002177CF">
      <w:pPr>
        <w:pStyle w:val="Heading2"/>
        <w:ind w:left="576" w:right="0" w:hanging="576"/>
      </w:pPr>
      <w:r>
        <w:t>Scenario 2: Shore to Ship via terrestrial VDES (VDE-TER)</w:t>
      </w:r>
    </w:p>
    <w:p w14:paraId="25DFDBAC"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Reference: Figure 1 Overview over the Phase 1 VDES/MMS Test bed.</w:t>
      </w:r>
    </w:p>
    <w:p w14:paraId="25DFDBAD"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Involved subsystems: see Figure 3, the red crossed systems are not relevant for this test.</w:t>
      </w:r>
    </w:p>
    <w:p w14:paraId="25DFDBAE" w14:textId="1E0D2443" w:rsidR="000566CC" w:rsidRDefault="002177CF">
      <w:pPr>
        <w:pStyle w:val="normal1"/>
      </w:pPr>
      <w:r>
        <w:rPr>
          <w:noProof/>
        </w:rPr>
        <w:lastRenderedPageBreak/>
        <w:drawing>
          <wp:inline distT="0" distB="0" distL="0" distR="0" wp14:anchorId="25DFDC89" wp14:editId="25DFDC8A">
            <wp:extent cx="6118225" cy="3411220"/>
            <wp:effectExtent l="0" t="0" r="0" b="0"/>
            <wp:docPr id="35"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 Copy 1"/>
                    <pic:cNvPicPr>
                      <a:picLocks noChangeAspect="1" noChangeArrowheads="1"/>
                    </pic:cNvPicPr>
                  </pic:nvPicPr>
                  <pic:blipFill>
                    <a:blip r:embed="rId28"/>
                    <a:stretch>
                      <a:fillRect/>
                    </a:stretch>
                  </pic:blipFill>
                  <pic:spPr bwMode="auto">
                    <a:xfrm>
                      <a:off x="0" y="0"/>
                      <a:ext cx="6118225" cy="3411220"/>
                    </a:xfrm>
                    <a:prstGeom prst="rect">
                      <a:avLst/>
                    </a:prstGeom>
                    <a:noFill/>
                  </pic:spPr>
                </pic:pic>
              </a:graphicData>
            </a:graphic>
          </wp:inline>
        </w:drawing>
      </w:r>
      <w:r w:rsidR="0043674F">
        <w:rPr>
          <w:noProof/>
        </w:rPr>
        <w:pict w14:anchorId="6D33254A">
          <v:shape id="Shape12" o:spid="_x0000_s1037" type="#_x0000_t32" style="position:absolute;margin-left:106pt;margin-top:130pt;width:45.6pt;height:39.85pt;z-index:251659264;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" strokecolor="red" strokeweight="3pt">
            <v:stroke joinstyle="miter"/>
          </v:shape>
        </w:pict>
      </w:r>
      <w:r w:rsidR="0043674F">
        <w:rPr>
          <w:noProof/>
        </w:rPr>
        <w:pict w14:anchorId="5B67EC1A">
          <v:shape id="Shape13" o:spid="_x0000_s1036" type="#_x0000_t32" style="position:absolute;margin-left:103pt;margin-top:131pt;width:49.05pt;height:39.85pt;flip:x;z-index:251660288;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" strokecolor="red" strokeweight="3pt">
            <v:stroke joinstyle="miter"/>
          </v:shape>
        </w:pict>
      </w:r>
      <w:r w:rsidR="0043674F">
        <w:rPr>
          <w:noProof/>
        </w:rPr>
        <w:pict w14:anchorId="03CCEAC4">
          <v:shape id="Shape14" o:spid="_x0000_s1035" type="#_x0000_t32" style="position:absolute;margin-left:158pt;margin-top:130pt;width:45.6pt;height:39.85pt;z-index:251661312;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" strokecolor="red" strokeweight="3pt">
            <v:stroke joinstyle="miter"/>
          </v:shape>
        </w:pict>
      </w:r>
      <w:r w:rsidR="0043674F">
        <w:rPr>
          <w:noProof/>
        </w:rPr>
        <w:pict w14:anchorId="2EB9F674">
          <v:shape id="Shape15" o:spid="_x0000_s1034" type="#_x0000_t32" style="position:absolute;margin-left:156pt;margin-top:130pt;width:49.05pt;height:39.85pt;flip:x;z-index:251662336;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" strokecolor="red" strokeweight="3pt">
            <v:stroke joinstyle="miter"/>
          </v:shape>
        </w:pict>
      </w:r>
      <w:r w:rsidR="0043674F">
        <w:rPr>
          <w:noProof/>
        </w:rPr>
        <w:pict w14:anchorId="7A40592A">
          <v:shape id="Shape16" o:spid="_x0000_s1033" type="#_x0000_t32" style="position:absolute;margin-left:5pt;margin-top:69pt;width:45.6pt;height:39.85pt;z-index:251663360;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" strokecolor="red" strokeweight="3pt">
            <v:stroke joinstyle="miter"/>
          </v:shape>
        </w:pict>
      </w:r>
      <w:r w:rsidR="0043674F">
        <w:rPr>
          <w:noProof/>
        </w:rPr>
        <w:pict w14:anchorId="259087D6">
          <v:shape id="Shape17" o:spid="_x0000_s1032" type="#_x0000_t32" style="position:absolute;margin-left:2pt;margin-top:69pt;width:49.05pt;height:39.85pt;flip:x;z-index:251664384;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" strokecolor="red" strokeweight="3pt">
            <v:stroke joinstyle="miter"/>
          </v:shape>
        </w:pict>
      </w:r>
      <w:bookmarkStart w:id="5" w:name="_heading=h.2et92p0"/>
    </w:p>
    <w:bookmarkEnd w:id="5"/>
    <w:p w14:paraId="25DFDBAF" w14:textId="77777777" w:rsidR="000566CC" w:rsidRDefault="0043674F">
      <w:pPr>
        <w:pStyle w:val="normal1"/>
        <w:spacing w:before="120" w:after="120"/>
        <w:rPr>
          <w:rFonts w:ascii="Liberation Serif" w:eastAsia="Liberation Serif" w:hAnsi="Liberation Serif" w:cs="Liberation Serif"/>
          <w:i/>
          <w:color w:val="000000"/>
          <w:sz w:val="24"/>
          <w:szCs w:val="24"/>
        </w:rPr>
      </w:pPr>
      <w:sdt>
        <w:sdtPr>
          <w:id w:val="1466392701"/>
          <w:text/>
        </w:sdtPr>
        <w:sdtEndPr/>
        <w:sdtContent>
          <w:r w:rsidR="002177CF">
            <w:rPr>
              <w:rFonts w:ascii="Liberation Serif" w:eastAsia="Liberation Serif" w:hAnsi="Liberation Serif" w:cs="Liberation Serif"/>
              <w:i/>
              <w:color w:val="000000"/>
              <w:sz w:val="24"/>
              <w:szCs w:val="24"/>
            </w:rPr>
            <w:t>Figure 3 Shore to Ship via terrestrial VDES (VDE-TER)</w:t>
          </w:r>
        </w:sdtContent>
      </w:sdt>
    </w:p>
    <w:p w14:paraId="25DFDBB0" w14:textId="77777777" w:rsidR="000566CC" w:rsidRDefault="002177CF">
      <w:pPr>
        <w:pStyle w:val="Heading3"/>
        <w:ind w:left="720" w:right="0" w:hanging="720"/>
      </w:pPr>
      <w:r>
        <w:t>Purpose</w:t>
      </w:r>
    </w:p>
    <w:p w14:paraId="25DFDBB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purpose of this test is to verify the proper integration of terrestrial VDES (VDE-TER) into the MMS of Sternula and AIVeNautics, for the use case of subject cast data, utilizing VDE-TER broadcast according to [MMS] Appendix C.</w:t>
      </w:r>
    </w:p>
    <w:p w14:paraId="25DFDBB2" w14:textId="77777777" w:rsidR="000566CC" w:rsidRDefault="002177CF">
      <w:pPr>
        <w:pStyle w:val="Heading3"/>
        <w:ind w:left="720" w:right="0" w:hanging="720"/>
      </w:pPr>
      <w:bookmarkStart w:id="6" w:name="_heading=h.tyjcwt"/>
      <w:bookmarkEnd w:id="6"/>
      <w:r>
        <w:t>Test Log</w:t>
      </w:r>
    </w:p>
    <w:p w14:paraId="25DFDBB3"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test was executed on the </w:t>
      </w:r>
      <w:r>
        <w:rPr>
          <w:rFonts w:ascii="Liberation Serif" w:eastAsia="Liberation Serif" w:hAnsi="Liberation Serif" w:cs="Liberation Serif"/>
          <w:color w:val="6AA84F"/>
          <w:sz w:val="24"/>
          <w:szCs w:val="24"/>
        </w:rPr>
        <w:t>202</w:t>
      </w:r>
      <w:r>
        <w:rPr>
          <w:color w:val="6AA84F"/>
        </w:rPr>
        <w:t>5-01-29</w:t>
      </w:r>
      <w:r>
        <w:rPr>
          <w:rFonts w:ascii="Liberation Serif" w:eastAsia="Liberation Serif" w:hAnsi="Liberation Serif" w:cs="Liberation Serif"/>
          <w:color w:val="000000"/>
          <w:sz w:val="24"/>
          <w:szCs w:val="24"/>
        </w:rPr>
        <w:t>.</w:t>
      </w:r>
    </w:p>
    <w:p w14:paraId="25DFDBB4"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Following preparations were taken:</w:t>
      </w:r>
    </w:p>
    <w:p w14:paraId="25DFDBB5"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SAAB R6 AIS part was switched on, as it would be in a realistic ship setup.</w:t>
      </w:r>
    </w:p>
    <w:p w14:paraId="25DFDBB6"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4G modem ship equipment was disconnected from the ship side Edge Router (Sternula MMS Proxy ship).</w:t>
      </w:r>
    </w:p>
    <w:p w14:paraId="25DFDBB7" w14:textId="77777777" w:rsidR="000566CC" w:rsidRDefault="002177CF">
      <w:pPr>
        <w:pStyle w:val="normal1"/>
        <w:spacing w:after="140" w:line="288" w:lineRule="auto"/>
        <w:ind w:left="720"/>
      </w:pPr>
      <w:r>
        <w:t>The picture below show the 4g modem is disconnected and the saab R6 connected</w:t>
      </w:r>
    </w:p>
    <w:p w14:paraId="25DFDBB8" w14:textId="77777777" w:rsidR="000566CC" w:rsidRDefault="002177CF">
      <w:pPr>
        <w:pStyle w:val="normal1"/>
        <w:spacing w:after="140" w:line="288" w:lineRule="auto"/>
        <w:ind w:left="720"/>
      </w:pPr>
      <w:r>
        <w:rPr>
          <w:noProof/>
        </w:rPr>
        <w:lastRenderedPageBreak/>
        <w:drawing>
          <wp:inline distT="0" distB="0" distL="0" distR="0" wp14:anchorId="25DFDC97" wp14:editId="25DFDC98">
            <wp:extent cx="2328545" cy="2328545"/>
            <wp:effectExtent l="0" t="0" r="0" b="0"/>
            <wp:docPr id="42" name="im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5.jpg"/>
                    <pic:cNvPicPr>
                      <a:picLocks noChangeAspect="1" noChangeArrowheads="1"/>
                    </pic:cNvPicPr>
                  </pic:nvPicPr>
                  <pic:blipFill>
                    <a:blip r:embed="rId44"/>
                    <a:stretch>
                      <a:fillRect/>
                    </a:stretch>
                  </pic:blipFill>
                  <pic:spPr bwMode="auto">
                    <a:xfrm>
                      <a:off x="0" y="0"/>
                      <a:ext cx="2328545" cy="2328545"/>
                    </a:xfrm>
                    <a:prstGeom prst="rect">
                      <a:avLst/>
                    </a:prstGeom>
                    <a:noFill/>
                  </pic:spPr>
                </pic:pic>
              </a:graphicData>
            </a:graphic>
          </wp:inline>
        </w:drawing>
      </w:r>
      <w:r>
        <w:rPr>
          <w:noProof/>
        </w:rPr>
        <w:drawing>
          <wp:inline distT="0" distB="0" distL="0" distR="0" wp14:anchorId="25DFDC99" wp14:editId="25DFDC9A">
            <wp:extent cx="2322830" cy="2322830"/>
            <wp:effectExtent l="0" t="0" r="0" b="0"/>
            <wp:docPr id="43" name="im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58.jpg"/>
                    <pic:cNvPicPr>
                      <a:picLocks noChangeAspect="1" noChangeArrowheads="1"/>
                    </pic:cNvPicPr>
                  </pic:nvPicPr>
                  <pic:blipFill>
                    <a:blip r:embed="rId45"/>
                    <a:stretch>
                      <a:fillRect/>
                    </a:stretch>
                  </pic:blipFill>
                  <pic:spPr bwMode="auto">
                    <a:xfrm>
                      <a:off x="0" y="0"/>
                      <a:ext cx="2322830" cy="2322830"/>
                    </a:xfrm>
                    <a:prstGeom prst="rect">
                      <a:avLst/>
                    </a:prstGeom>
                    <a:noFill/>
                  </pic:spPr>
                </pic:pic>
              </a:graphicData>
            </a:graphic>
          </wp:inline>
        </w:drawing>
      </w:r>
    </w:p>
    <w:p w14:paraId="25DFDBB9"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It was verified that the VDES ship TRX (SAAB R6) was connected to the ship side Edge Router (Sternula MMS Proxy Ship).</w:t>
      </w:r>
    </w:p>
    <w:p w14:paraId="25DFDBBA" w14:textId="77777777" w:rsidR="000566CC" w:rsidRDefault="002177CF">
      <w:pPr>
        <w:pStyle w:val="normal1"/>
        <w:spacing w:after="140" w:line="288" w:lineRule="auto"/>
        <w:ind w:left="720"/>
      </w:pPr>
      <w:r>
        <w:t>From point 4.2.2.B documentation it can be seen that the SAAB R6 is connected</w:t>
      </w:r>
    </w:p>
    <w:p w14:paraId="25DFDBBB"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It was verified that the VDES ship TRX and the VDES Basestation were connected through a cable with a 30 dB attenuation at each of the transceivers and a 40dB inbetween, totalling to 100 dB attenuation. The attenuator on the VDES Base Station side was of a 10W rating. All attenuators were rated for up to 1GHz or higher and therefore matched the test setup that uses 160MHz VHF maritime band. Cables are RG51 with BNC connectors, adapters were used to use SMA style attenuators.</w:t>
      </w:r>
    </w:p>
    <w:p w14:paraId="25DFDBBC" w14:textId="77777777" w:rsidR="000566CC" w:rsidRDefault="002177CF">
      <w:pPr>
        <w:pStyle w:val="normal1"/>
        <w:spacing w:after="140" w:line="288" w:lineRule="auto"/>
        <w:ind w:left="720"/>
        <w:rPr>
          <w:color w:val="6AA84F"/>
        </w:rPr>
      </w:pPr>
      <w:r>
        <w:rPr>
          <w:color w:val="6AA84F"/>
        </w:rPr>
        <w:t xml:space="preserve">(d) It was verified that the VDES ship TRX and the VDES basestation were connected through a cable with ⩰ 60 db attenuation. The attenuation in the cable was obtained using attenuators with a power rating of 10W or more, as well as a frequency band rating of DC-1GHz or more. Hence therefore matched the test setup that uses 160 MHz VHF maritime band. </w:t>
      </w:r>
    </w:p>
    <w:p w14:paraId="25DFDBBD" w14:textId="77777777" w:rsidR="000566CC" w:rsidRDefault="002177CF">
      <w:pPr>
        <w:pStyle w:val="normal1"/>
        <w:spacing w:after="140" w:line="288" w:lineRule="auto"/>
        <w:ind w:left="720"/>
      </w:pPr>
      <w:r>
        <w:t xml:space="preserve">The pictures below show the cable connecting the ship VDES equipment with the shore VDES equipment. </w:t>
      </w:r>
    </w:p>
    <w:p w14:paraId="25DFDBBE" w14:textId="77777777" w:rsidR="000566CC" w:rsidRDefault="002177CF">
      <w:pPr>
        <w:pStyle w:val="normal1"/>
        <w:spacing w:after="140" w:line="288" w:lineRule="auto"/>
        <w:ind w:left="720"/>
      </w:pPr>
      <w:r>
        <w:rPr>
          <w:noProof/>
        </w:rPr>
        <w:lastRenderedPageBreak/>
        <w:drawing>
          <wp:inline distT="0" distB="0" distL="0" distR="0" wp14:anchorId="25DFDC9B" wp14:editId="25DFDC9C">
            <wp:extent cx="3570605" cy="3570605"/>
            <wp:effectExtent l="0" t="0" r="0" b="0"/>
            <wp:docPr id="44" name="im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7.jpg"/>
                    <pic:cNvPicPr>
                      <a:picLocks noChangeAspect="1" noChangeArrowheads="1"/>
                    </pic:cNvPicPr>
                  </pic:nvPicPr>
                  <pic:blipFill>
                    <a:blip r:embed="rId46"/>
                    <a:stretch>
                      <a:fillRect/>
                    </a:stretch>
                  </pic:blipFill>
                  <pic:spPr bwMode="auto">
                    <a:xfrm>
                      <a:off x="0" y="0"/>
                      <a:ext cx="3570605" cy="3570605"/>
                    </a:xfrm>
                    <a:prstGeom prst="rect">
                      <a:avLst/>
                    </a:prstGeom>
                    <a:noFill/>
                  </pic:spPr>
                </pic:pic>
              </a:graphicData>
            </a:graphic>
          </wp:inline>
        </w:drawing>
      </w:r>
    </w:p>
    <w:p w14:paraId="25DFDBBF" w14:textId="77777777" w:rsidR="000566CC" w:rsidRDefault="002177CF">
      <w:pPr>
        <w:pStyle w:val="normal1"/>
        <w:spacing w:after="140" w:line="288" w:lineRule="auto"/>
        <w:ind w:left="720"/>
      </w:pPr>
      <w:r>
        <w:t xml:space="preserve">The two used attenuators for the test can be seen on the picture below </w:t>
      </w:r>
    </w:p>
    <w:p w14:paraId="25DFDBC0" w14:textId="77777777" w:rsidR="000566CC" w:rsidRDefault="002177CF">
      <w:pPr>
        <w:pStyle w:val="normal1"/>
        <w:spacing w:after="140" w:line="288" w:lineRule="auto"/>
        <w:ind w:left="720"/>
      </w:pPr>
      <w:r>
        <w:rPr>
          <w:noProof/>
        </w:rPr>
        <w:drawing>
          <wp:inline distT="0" distB="0" distL="0" distR="0" wp14:anchorId="25DFDC9D" wp14:editId="25DFDC9E">
            <wp:extent cx="2499995" cy="2499995"/>
            <wp:effectExtent l="0" t="0" r="0" b="0"/>
            <wp:docPr id="45" name="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g"/>
                    <pic:cNvPicPr>
                      <a:picLocks noChangeAspect="1" noChangeArrowheads="1"/>
                    </pic:cNvPicPr>
                  </pic:nvPicPr>
                  <pic:blipFill>
                    <a:blip r:embed="rId47"/>
                    <a:stretch>
                      <a:fillRect/>
                    </a:stretch>
                  </pic:blipFill>
                  <pic:spPr bwMode="auto">
                    <a:xfrm>
                      <a:off x="0" y="0"/>
                      <a:ext cx="2499995" cy="2499995"/>
                    </a:xfrm>
                    <a:prstGeom prst="rect">
                      <a:avLst/>
                    </a:prstGeom>
                    <a:noFill/>
                  </pic:spPr>
                </pic:pic>
              </a:graphicData>
            </a:graphic>
          </wp:inline>
        </w:drawing>
      </w:r>
      <w:r>
        <w:rPr>
          <w:noProof/>
        </w:rPr>
        <w:drawing>
          <wp:inline distT="0" distB="0" distL="0" distR="0" wp14:anchorId="25DFDC9F" wp14:editId="25DFDCA0">
            <wp:extent cx="2589530" cy="2589530"/>
            <wp:effectExtent l="0" t="0" r="0" b="0"/>
            <wp:docPr id="46" name="im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1.jpg"/>
                    <pic:cNvPicPr>
                      <a:picLocks noChangeAspect="1" noChangeArrowheads="1"/>
                    </pic:cNvPicPr>
                  </pic:nvPicPr>
                  <pic:blipFill>
                    <a:blip r:embed="rId48"/>
                    <a:stretch>
                      <a:fillRect/>
                    </a:stretch>
                  </pic:blipFill>
                  <pic:spPr bwMode="auto">
                    <a:xfrm>
                      <a:off x="0" y="0"/>
                      <a:ext cx="2589530" cy="2589530"/>
                    </a:xfrm>
                    <a:prstGeom prst="rect">
                      <a:avLst/>
                    </a:prstGeom>
                    <a:noFill/>
                  </pic:spPr>
                </pic:pic>
              </a:graphicData>
            </a:graphic>
          </wp:inline>
        </w:drawing>
      </w:r>
    </w:p>
    <w:p w14:paraId="25DFDBC1"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ship side equipment was powered on.</w:t>
      </w:r>
    </w:p>
    <w:p w14:paraId="25DFDBC2"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shore side VDES equipment and VDE-TER Gateway was powered on.</w:t>
      </w:r>
    </w:p>
    <w:p w14:paraId="25DFDBC3"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 xml:space="preserve">Configure the VDE-TER Gateway such, that LinkID </w:t>
      </w:r>
      <w:sdt>
        <w:sdtPr>
          <w:tag w:val="goog_rdk_32"/>
          <w:id w:val="-159785710"/>
        </w:sdtPr>
        <w:sdtEndPr/>
        <w:sdtContent/>
      </w:sdt>
      <w:sdt>
        <w:sdtPr>
          <w:tag w:val="goog_rdk_33"/>
          <w:id w:val="1703438880"/>
        </w:sdtPr>
        <w:sdtEndPr/>
        <w:sdtContent>
          <w:r>
            <w:rPr>
              <w:rFonts w:ascii="Liberation Serif" w:eastAsia="Liberation Serif" w:hAnsi="Liberation Serif" w:cs="Liberation Serif"/>
              <w:color w:val="FF0000"/>
              <w:sz w:val="24"/>
              <w:szCs w:val="24"/>
            </w:rPr>
            <w:t xml:space="preserve">17 </w:t>
          </w:r>
        </w:sdtContent>
      </w:sdt>
      <w:r>
        <w:rPr>
          <w:rFonts w:ascii="Liberation Serif" w:eastAsia="Liberation Serif" w:hAnsi="Liberation Serif" w:cs="Liberation Serif"/>
          <w:color w:val="FF0000"/>
          <w:sz w:val="24"/>
          <w:szCs w:val="24"/>
        </w:rPr>
        <w:t>is used for the transmission of the data between the VDES Base Station (shore side) and the VDES TRX (Ship side).</w:t>
      </w:r>
    </w:p>
    <w:p w14:paraId="25DFDBC4" w14:textId="77777777" w:rsidR="000566CC" w:rsidRDefault="002177CF">
      <w:pPr>
        <w:pStyle w:val="normal1"/>
        <w:spacing w:after="140" w:line="288" w:lineRule="auto"/>
        <w:ind w:left="720"/>
        <w:rPr>
          <w:color w:val="38761D"/>
        </w:rPr>
      </w:pPr>
      <w:r>
        <w:rPr>
          <w:color w:val="38761D"/>
        </w:rPr>
        <w:t>SAAB R60 and R6 does at the moment not support selection of link id, and instead selects based on the payload size, the link id used can therefore not be directly documented. However, according to the ICD for the R6, if the payload is less than 200 bytes in the TD</w:t>
      </w:r>
      <w:sdt>
        <w:sdtPr>
          <w:tag w:val="goog_rdk_34"/>
          <w:id w:val="-1382172254"/>
        </w:sdtPr>
        <w:sdtEndPr/>
        <w:sdtContent>
          <w:r>
            <w:rPr>
              <w:color w:val="38761D"/>
            </w:rPr>
            <w:t>B</w:t>
          </w:r>
        </w:sdtContent>
      </w:sdt>
      <w:sdt>
        <w:sdtPr>
          <w:tag w:val="goog_rdk_35"/>
          <w:id w:val="-324210495"/>
        </w:sdtPr>
        <w:sdtEndPr/>
        <w:sdtContent/>
      </w:sdt>
      <w:r>
        <w:rPr>
          <w:color w:val="38761D"/>
        </w:rPr>
        <w:t xml:space="preserve"> NMEA sentence, then link ID 17 is used. In the test, the payload was therefore kept under 200 bytes to indirectly choose link ID 17.</w:t>
      </w:r>
    </w:p>
    <w:p w14:paraId="25DFDBC5"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 xml:space="preserve">The MMS Edge </w:t>
      </w:r>
      <w:r>
        <w:t>R</w:t>
      </w:r>
      <w:r>
        <w:rPr>
          <w:rFonts w:ascii="Liberation Serif" w:eastAsia="Liberation Serif" w:hAnsi="Liberation Serif" w:cs="Liberation Serif"/>
          <w:color w:val="000000"/>
          <w:sz w:val="24"/>
          <w:szCs w:val="24"/>
        </w:rPr>
        <w:t>outers were initialized with maritime identities registered in the MIR.</w:t>
      </w:r>
    </w:p>
    <w:p w14:paraId="25DFDBC6" w14:textId="77777777" w:rsidR="000566CC" w:rsidRDefault="002177CF">
      <w:pPr>
        <w:pStyle w:val="normal1"/>
        <w:spacing w:after="140" w:line="288" w:lineRule="auto"/>
        <w:ind w:left="720"/>
      </w:pPr>
      <w:r>
        <w:t xml:space="preserve">For the second test, the VDE-TER Gateway was with the following certificate information displayed in the VDE-TER Gateway, </w:t>
      </w:r>
    </w:p>
    <w:p w14:paraId="25DFDBC7" w14:textId="77777777" w:rsidR="000566CC" w:rsidRDefault="002177CF">
      <w:pPr>
        <w:pStyle w:val="normal1"/>
        <w:spacing w:after="140" w:line="288" w:lineRule="auto"/>
        <w:ind w:firstLine="720"/>
      </w:pPr>
      <w:r>
        <w:rPr>
          <w:noProof/>
        </w:rPr>
        <w:drawing>
          <wp:inline distT="0" distB="0" distL="0" distR="0" wp14:anchorId="25DFDCA1" wp14:editId="25DFDCA2">
            <wp:extent cx="3594100" cy="3628390"/>
            <wp:effectExtent l="0" t="0" r="0" b="0"/>
            <wp:docPr id="4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8.png"/>
                    <pic:cNvPicPr>
                      <a:picLocks noChangeAspect="1" noChangeArrowheads="1"/>
                    </pic:cNvPicPr>
                  </pic:nvPicPr>
                  <pic:blipFill>
                    <a:blip r:embed="rId49"/>
                    <a:stretch>
                      <a:fillRect/>
                    </a:stretch>
                  </pic:blipFill>
                  <pic:spPr bwMode="auto">
                    <a:xfrm>
                      <a:off x="0" y="0"/>
                      <a:ext cx="3594100" cy="3628390"/>
                    </a:xfrm>
                    <a:prstGeom prst="rect">
                      <a:avLst/>
                    </a:prstGeom>
                    <a:noFill/>
                  </pic:spPr>
                </pic:pic>
              </a:graphicData>
            </a:graphic>
          </wp:inline>
        </w:drawing>
      </w:r>
    </w:p>
    <w:p w14:paraId="25DFDBC8" w14:textId="77777777" w:rsidR="000566CC" w:rsidRDefault="002177CF">
      <w:pPr>
        <w:pStyle w:val="normal1"/>
        <w:spacing w:after="140" w:line="288" w:lineRule="auto"/>
        <w:ind w:firstLine="720"/>
      </w:pPr>
      <w:r>
        <w:t xml:space="preserve">The picture below shows that the uploaded certificate is part of the MCP-PD MIR. </w:t>
      </w:r>
    </w:p>
    <w:p w14:paraId="25DFDBC9" w14:textId="77777777" w:rsidR="000566CC" w:rsidRDefault="002177CF">
      <w:pPr>
        <w:pStyle w:val="normal1"/>
        <w:spacing w:after="140" w:line="288" w:lineRule="auto"/>
        <w:ind w:firstLine="720"/>
      </w:pPr>
      <w:r>
        <w:rPr>
          <w:noProof/>
        </w:rPr>
        <w:drawing>
          <wp:inline distT="0" distB="0" distL="0" distR="0" wp14:anchorId="25DFDCA3" wp14:editId="25DFDCA4">
            <wp:extent cx="4902200" cy="2096770"/>
            <wp:effectExtent l="0" t="0" r="0" b="0"/>
            <wp:docPr id="48"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0.png"/>
                    <pic:cNvPicPr>
                      <a:picLocks noChangeAspect="1" noChangeArrowheads="1"/>
                    </pic:cNvPicPr>
                  </pic:nvPicPr>
                  <pic:blipFill>
                    <a:blip r:embed="rId50"/>
                    <a:stretch>
                      <a:fillRect/>
                    </a:stretch>
                  </pic:blipFill>
                  <pic:spPr bwMode="auto">
                    <a:xfrm>
                      <a:off x="0" y="0"/>
                      <a:ext cx="4902200" cy="2096770"/>
                    </a:xfrm>
                    <a:prstGeom prst="rect">
                      <a:avLst/>
                    </a:prstGeom>
                    <a:noFill/>
                  </pic:spPr>
                </pic:pic>
              </a:graphicData>
            </a:graphic>
          </wp:inline>
        </w:drawing>
      </w:r>
    </w:p>
    <w:p w14:paraId="25DFDBCA" w14:textId="77777777" w:rsidR="000566CC" w:rsidRDefault="002177CF">
      <w:pPr>
        <w:pStyle w:val="normal1"/>
        <w:spacing w:after="140" w:line="288" w:lineRule="auto"/>
      </w:pPr>
      <w:r>
        <w:tab/>
        <w:t>For the identities used on the ship see 4.1.2 (D)</w:t>
      </w:r>
    </w:p>
    <w:p w14:paraId="25DFDBCB" w14:textId="77777777" w:rsidR="000566CC" w:rsidRDefault="002177CF">
      <w:pPr>
        <w:pStyle w:val="normal1"/>
        <w:spacing w:after="140" w:line="288" w:lineRule="auto"/>
        <w:ind w:firstLine="720"/>
      </w:pPr>
      <w:r>
        <w:t>For the identities used in the AIVeNautics Edge Routers, see 4.1.2 (D)</w:t>
      </w:r>
    </w:p>
    <w:p w14:paraId="25DFDBCC" w14:textId="77777777" w:rsidR="000566CC" w:rsidRDefault="002177CF">
      <w:pPr>
        <w:pStyle w:val="normal1"/>
        <w:numPr>
          <w:ilvl w:val="0"/>
          <w:numId w:val="3"/>
        </w:numPr>
        <w:spacing w:after="140" w:line="288" w:lineRule="auto"/>
        <w:ind w:left="720" w:hanging="360"/>
        <w:rPr>
          <w:color w:val="FF0000"/>
        </w:rPr>
      </w:pPr>
      <w:r>
        <w:rPr>
          <w:color w:val="FF0000"/>
        </w:rPr>
        <w:t>The SECOM Gateway was initialized to pull the list of actually active navigational warnings from the Australian S-124 service in 5-minute intervals and send them to the MMS router network.</w:t>
      </w:r>
    </w:p>
    <w:p w14:paraId="25DFDBCD" w14:textId="77777777" w:rsidR="000566CC" w:rsidRDefault="002177CF">
      <w:pPr>
        <w:pStyle w:val="normal1"/>
        <w:spacing w:after="140" w:line="288" w:lineRule="auto"/>
        <w:ind w:left="720"/>
        <w:rPr>
          <w:color w:val="6AA84F"/>
        </w:rPr>
      </w:pPr>
      <w:r>
        <w:t xml:space="preserve">(i) </w:t>
      </w:r>
      <w:r>
        <w:rPr>
          <w:color w:val="6AA84F"/>
        </w:rPr>
        <w:t>The SECOM Gateway was initialized to subscribe to S-124 navigational warnings from the Danish Maritime Authority.</w:t>
      </w:r>
    </w:p>
    <w:p w14:paraId="25DFDBCE" w14:textId="77777777" w:rsidR="000566CC" w:rsidRDefault="002177CF">
      <w:pPr>
        <w:pStyle w:val="normal1"/>
        <w:spacing w:after="140" w:line="288" w:lineRule="auto"/>
        <w:ind w:firstLine="720"/>
        <w:rPr>
          <w:color w:val="6AA84F"/>
        </w:rPr>
      </w:pPr>
      <w:r>
        <w:t>Log: Identical to 4.1.2 (E)</w:t>
      </w:r>
    </w:p>
    <w:p w14:paraId="25DFDBCF"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 xml:space="preserve">The ChatSea Application was started and connected to the Sternula MMS Proxy Ship (Ship side Edge Router), and it was verified that the ChatSea application did not show any previously downloaded data </w:t>
      </w:r>
      <w:r>
        <w:rPr>
          <w:rFonts w:ascii="Liberation Serif" w:eastAsia="Liberation Serif" w:hAnsi="Liberation Serif" w:cs="Liberation Serif"/>
          <w:color w:val="FF0000"/>
          <w:sz w:val="24"/>
          <w:szCs w:val="24"/>
        </w:rPr>
        <w:t>(Australian map is free from S-124 data).</w:t>
      </w:r>
    </w:p>
    <w:p w14:paraId="25DFDBD0" w14:textId="77777777" w:rsidR="000566CC" w:rsidRDefault="002177CF">
      <w:pPr>
        <w:pStyle w:val="normal1"/>
        <w:spacing w:after="140" w:line="288" w:lineRule="auto"/>
        <w:ind w:left="720"/>
        <w:rPr>
          <w:rFonts w:ascii="Liberation Serif" w:eastAsia="Liberation Serif" w:hAnsi="Liberation Serif" w:cs="Liberation Serif"/>
          <w:color w:val="FF0000"/>
          <w:sz w:val="24"/>
          <w:szCs w:val="24"/>
        </w:rPr>
      </w:pPr>
      <w:r>
        <w:rPr>
          <w:noProof/>
        </w:rPr>
        <w:drawing>
          <wp:inline distT="0" distB="0" distL="0" distR="0" wp14:anchorId="25DFDCA5" wp14:editId="25DFDCA6">
            <wp:extent cx="3109595" cy="3080385"/>
            <wp:effectExtent l="0" t="0" r="0" b="0"/>
            <wp:docPr id="49" name="Image4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4 Copy 1"/>
                    <pic:cNvPicPr>
                      <a:picLocks noChangeAspect="1" noChangeArrowheads="1"/>
                    </pic:cNvPicPr>
                  </pic:nvPicPr>
                  <pic:blipFill>
                    <a:blip r:embed="rId35"/>
                    <a:stretch>
                      <a:fillRect/>
                    </a:stretch>
                  </pic:blipFill>
                  <pic:spPr bwMode="auto">
                    <a:xfrm>
                      <a:off x="0" y="0"/>
                      <a:ext cx="3109595" cy="3080385"/>
                    </a:xfrm>
                    <a:prstGeom prst="rect">
                      <a:avLst/>
                    </a:prstGeom>
                    <a:noFill/>
                  </pic:spPr>
                </pic:pic>
              </a:graphicData>
            </a:graphic>
          </wp:inline>
        </w:drawing>
      </w:r>
      <w:r>
        <w:rPr>
          <w:noProof/>
        </w:rPr>
        <w:drawing>
          <wp:inline distT="0" distB="0" distL="0" distR="0" wp14:anchorId="25DFDCA7" wp14:editId="25DFDCA8">
            <wp:extent cx="3876040" cy="1862455"/>
            <wp:effectExtent l="0" t="0" r="0" b="0"/>
            <wp:docPr id="50"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5.png"/>
                    <pic:cNvPicPr>
                      <a:picLocks noChangeAspect="1" noChangeArrowheads="1"/>
                    </pic:cNvPicPr>
                  </pic:nvPicPr>
                  <pic:blipFill>
                    <a:blip r:embed="rId36"/>
                    <a:stretch>
                      <a:fillRect/>
                    </a:stretch>
                  </pic:blipFill>
                  <pic:spPr bwMode="auto">
                    <a:xfrm>
                      <a:off x="0" y="0"/>
                      <a:ext cx="3876040" cy="1862455"/>
                    </a:xfrm>
                    <a:prstGeom prst="rect">
                      <a:avLst/>
                    </a:prstGeom>
                    <a:noFill/>
                  </pic:spPr>
                </pic:pic>
              </a:graphicData>
            </a:graphic>
          </wp:inline>
        </w:drawing>
      </w:r>
    </w:p>
    <w:p w14:paraId="25DFDBD1" w14:textId="77777777" w:rsidR="000566CC" w:rsidRDefault="002177CF">
      <w:pPr>
        <w:pStyle w:val="normal1"/>
        <w:spacing w:after="140" w:line="288" w:lineRule="auto"/>
        <w:ind w:left="720"/>
        <w:rPr>
          <w:color w:val="FF0000"/>
        </w:rPr>
      </w:pPr>
      <w:r>
        <w:t>The above figures show the ChatSea front- and backend. From the backend log, we see that ChatSea is connected to Sternulas MMS Proxy Ship</w:t>
      </w:r>
    </w:p>
    <w:p w14:paraId="25DFDBD2"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ChatSea Application subscribed to MMS specific MRN of the S-124 navigational warning service from Australia (“AMSA NAVAREA X Warnings”).</w:t>
      </w:r>
    </w:p>
    <w:p w14:paraId="25DFDBD3" w14:textId="77777777" w:rsidR="000566CC" w:rsidRDefault="002177CF">
      <w:pPr>
        <w:pStyle w:val="normal1"/>
        <w:spacing w:after="140" w:line="288" w:lineRule="auto"/>
        <w:ind w:left="720"/>
        <w:rPr>
          <w:color w:val="6AA84F"/>
        </w:rPr>
      </w:pPr>
      <w:r>
        <w:t xml:space="preserve">(k) </w:t>
      </w:r>
      <w:r>
        <w:rPr>
          <w:color w:val="6AA84F"/>
        </w:rPr>
        <w:t>The ChatSea application subscribed to MMS specific MRN of the S-124 navigational warning service from AIVeNautics.</w:t>
      </w:r>
    </w:p>
    <w:p w14:paraId="25DFDBD4" w14:textId="77777777" w:rsidR="000566CC" w:rsidRDefault="002177CF">
      <w:pPr>
        <w:pStyle w:val="normal1"/>
        <w:spacing w:after="140" w:line="288" w:lineRule="auto"/>
        <w:ind w:left="720"/>
        <w:rPr>
          <w:color w:val="6AA84F"/>
        </w:rPr>
      </w:pPr>
      <w:r>
        <w:rPr>
          <w:noProof/>
        </w:rPr>
        <w:lastRenderedPageBreak/>
        <w:drawing>
          <wp:inline distT="0" distB="0" distL="0" distR="0" wp14:anchorId="25DFDCA9" wp14:editId="25DFDCAA">
            <wp:extent cx="4037330" cy="2687320"/>
            <wp:effectExtent l="0" t="0" r="0" b="0"/>
            <wp:docPr id="5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png"/>
                    <pic:cNvPicPr>
                      <a:picLocks noChangeAspect="1" noChangeArrowheads="1"/>
                    </pic:cNvPicPr>
                  </pic:nvPicPr>
                  <pic:blipFill>
                    <a:blip r:embed="rId51"/>
                    <a:stretch>
                      <a:fillRect/>
                    </a:stretch>
                  </pic:blipFill>
                  <pic:spPr bwMode="auto">
                    <a:xfrm>
                      <a:off x="0" y="0"/>
                      <a:ext cx="4037330" cy="2687320"/>
                    </a:xfrm>
                    <a:prstGeom prst="rect">
                      <a:avLst/>
                    </a:prstGeom>
                    <a:noFill/>
                  </pic:spPr>
                </pic:pic>
              </a:graphicData>
            </a:graphic>
          </wp:inline>
        </w:drawing>
      </w:r>
    </w:p>
    <w:p w14:paraId="25DFDBD5" w14:textId="77777777" w:rsidR="000566CC" w:rsidRDefault="002177CF">
      <w:pPr>
        <w:pStyle w:val="normal1"/>
        <w:spacing w:after="140" w:line="288" w:lineRule="auto"/>
        <w:ind w:left="720"/>
        <w:rPr>
          <w:color w:val="6AA84F"/>
        </w:rPr>
      </w:pPr>
      <w:r>
        <w:rPr>
          <w:noProof/>
        </w:rPr>
        <w:drawing>
          <wp:inline distT="0" distB="0" distL="0" distR="0" wp14:anchorId="25DFDCAB" wp14:editId="25DFDCAC">
            <wp:extent cx="3519805" cy="3002280"/>
            <wp:effectExtent l="0" t="0" r="0" b="0"/>
            <wp:docPr id="5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5"/>
                    <pic:cNvPicPr>
                      <a:picLocks noChangeAspect="1" noChangeArrowheads="1"/>
                    </pic:cNvPicPr>
                  </pic:nvPicPr>
                  <pic:blipFill>
                    <a:blip r:embed="rId38"/>
                    <a:stretch>
                      <a:fillRect/>
                    </a:stretch>
                  </pic:blipFill>
                  <pic:spPr bwMode="auto">
                    <a:xfrm>
                      <a:off x="0" y="0"/>
                      <a:ext cx="3519805" cy="3002280"/>
                    </a:xfrm>
                    <a:prstGeom prst="rect">
                      <a:avLst/>
                    </a:prstGeom>
                    <a:noFill/>
                  </pic:spPr>
                </pic:pic>
              </a:graphicData>
            </a:graphic>
          </wp:inline>
        </w:drawing>
      </w:r>
    </w:p>
    <w:p w14:paraId="25DFDBD6" w14:textId="77777777" w:rsidR="000566CC" w:rsidRDefault="002177CF">
      <w:pPr>
        <w:pStyle w:val="normal1"/>
        <w:spacing w:after="140" w:line="288" w:lineRule="auto"/>
        <w:ind w:left="720"/>
        <w:rPr>
          <w:color w:val="6AA84F"/>
        </w:rPr>
      </w:pPr>
      <w:r>
        <w:t>The above figures show the ChatSea front- and backend. From the backend log, we see that ChatSea is requesting and eventually subscribed to subject “s-124” through Sternulas MMS Proxy Ship.</w:t>
      </w:r>
    </w:p>
    <w:p w14:paraId="25DFDBD7" w14:textId="77777777" w:rsidR="000566CC" w:rsidRDefault="000566CC">
      <w:pPr>
        <w:pStyle w:val="normal1"/>
        <w:spacing w:after="140" w:line="288" w:lineRule="auto"/>
        <w:ind w:left="720"/>
        <w:rPr>
          <w:color w:val="6AA84F"/>
        </w:rPr>
      </w:pPr>
    </w:p>
    <w:p w14:paraId="25DFDBD8"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Wait 5 minutes to allow for the updated list to penetrate to the ship side edge router.</w:t>
      </w:r>
    </w:p>
    <w:p w14:paraId="25DFDBD9"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following results were observed:</w:t>
      </w:r>
    </w:p>
    <w:p w14:paraId="25DFDBDA" w14:textId="77777777" w:rsidR="000566CC" w:rsidRDefault="0043674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sdt>
        <w:sdtPr>
          <w:tag w:val="goog_rdk_37"/>
          <w:id w:val="-1765670335"/>
        </w:sdtPr>
        <w:sdtEndPr/>
        <w:sdtContent>
          <w:r w:rsidR="002177CF">
            <w:rPr>
              <w:rFonts w:ascii="Liberation Serif" w:eastAsia="Liberation Serif" w:hAnsi="Liberation Serif" w:cs="Liberation Serif"/>
              <w:color w:val="000000"/>
              <w:sz w:val="24"/>
              <w:szCs w:val="24"/>
            </w:rPr>
            <w:t>The ChatSea Application’s subscribe can be verified in logs of the Sternula MMS Proxy Ship and the Sternula MMS Proxy Shore, and the Router Network.</w:t>
          </w:r>
        </w:sdtContent>
      </w:sdt>
    </w:p>
    <w:p w14:paraId="25DFDBDB" w14:textId="77777777" w:rsidR="000566CC" w:rsidRDefault="0043674F">
      <w:pPr>
        <w:pStyle w:val="normal1"/>
        <w:spacing w:after="140" w:line="288" w:lineRule="auto"/>
        <w:ind w:left="720"/>
      </w:pPr>
      <w:sdt>
        <w:sdtPr>
          <w:tag w:val="goog_rdk_39"/>
          <w:id w:val="-735938679"/>
        </w:sdtPr>
        <w:sdtEndPr/>
        <w:sdtContent>
          <w:r w:rsidR="002177CF">
            <w:t>Form the picture below it can be seen that the ChatSea application subscribed to s-124 and was forwarded to the VDE-TER gateway which forwarded it to its connected MMS Router</w:t>
          </w:r>
        </w:sdtContent>
      </w:sdt>
    </w:p>
    <w:p w14:paraId="25DFDBDC" w14:textId="77777777" w:rsidR="000566CC" w:rsidRDefault="0043674F">
      <w:pPr>
        <w:pStyle w:val="normal1"/>
        <w:spacing w:after="140" w:line="288" w:lineRule="auto"/>
        <w:ind w:left="720"/>
      </w:pPr>
      <w:sdt>
        <w:sdtPr>
          <w:tag w:val="goog_rdk_41"/>
          <w:id w:val="616260097"/>
        </w:sdtPr>
        <w:sdtEndPr/>
        <w:sdtContent>
          <w:r w:rsidR="002177CF">
            <w:rPr>
              <w:noProof/>
            </w:rPr>
            <w:drawing>
              <wp:inline distT="0" distB="0" distL="0" distR="0" wp14:anchorId="25DFDCAD" wp14:editId="25DFDCAE">
                <wp:extent cx="6120130" cy="2870200"/>
                <wp:effectExtent l="0" t="0" r="0" b="0"/>
                <wp:docPr id="53"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4.png"/>
                        <pic:cNvPicPr>
                          <a:picLocks noChangeAspect="1" noChangeArrowheads="1"/>
                        </pic:cNvPicPr>
                      </pic:nvPicPr>
                      <pic:blipFill>
                        <a:blip r:embed="rId52"/>
                        <a:stretch>
                          <a:fillRect/>
                        </a:stretch>
                      </pic:blipFill>
                      <pic:spPr bwMode="auto">
                        <a:xfrm>
                          <a:off x="0" y="0"/>
                          <a:ext cx="6120130" cy="2870200"/>
                        </a:xfrm>
                        <a:prstGeom prst="rect">
                          <a:avLst/>
                        </a:prstGeom>
                        <a:noFill/>
                      </pic:spPr>
                    </pic:pic>
                  </a:graphicData>
                </a:graphic>
              </wp:inline>
            </w:drawing>
          </w:r>
        </w:sdtContent>
      </w:sdt>
    </w:p>
    <w:p w14:paraId="25DFDBDD" w14:textId="77777777" w:rsidR="000566CC" w:rsidRDefault="0043674F">
      <w:pPr>
        <w:pStyle w:val="normal1"/>
        <w:spacing w:after="140" w:line="288" w:lineRule="auto"/>
        <w:ind w:left="720"/>
      </w:pPr>
      <w:sdt>
        <w:sdtPr>
          <w:tag w:val="goog_rdk_43"/>
          <w:id w:val="446200255"/>
        </w:sdtPr>
        <w:sdtEndPr/>
        <w:sdtContent/>
      </w:sdt>
    </w:p>
    <w:p w14:paraId="25DFDBDE" w14:textId="77777777" w:rsidR="000566CC" w:rsidRDefault="0043674F">
      <w:pPr>
        <w:pStyle w:val="normal1"/>
        <w:spacing w:after="140" w:line="288" w:lineRule="auto"/>
        <w:ind w:left="720"/>
      </w:pPr>
      <w:sdt>
        <w:sdtPr>
          <w:tag w:val="goog_rdk_45"/>
          <w:id w:val="-559323985"/>
        </w:sdtPr>
        <w:sdtEndPr/>
        <w:sdtContent/>
      </w:sdt>
    </w:p>
    <w:p w14:paraId="25DFDBDF"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currently active navigational warnings from Australia were received and displayed on the ChatSea application.</w:t>
      </w:r>
    </w:p>
    <w:p w14:paraId="25DFDBE0" w14:textId="77777777" w:rsidR="000566CC" w:rsidRDefault="002177CF">
      <w:pPr>
        <w:pStyle w:val="normal1"/>
        <w:spacing w:after="140" w:line="288" w:lineRule="auto"/>
        <w:ind w:left="720"/>
        <w:rPr>
          <w:color w:val="6AA84F"/>
        </w:rPr>
      </w:pPr>
      <w:r>
        <w:rPr>
          <w:color w:val="6AA84F"/>
        </w:rPr>
        <w:t>(n) The currently broadcasted active navigational warning from Denmark was received and displayed on the ChatSea application.</w:t>
      </w:r>
    </w:p>
    <w:p w14:paraId="25DFDBE1" w14:textId="77777777" w:rsidR="000566CC" w:rsidRDefault="002177CF">
      <w:pPr>
        <w:pStyle w:val="normal1"/>
        <w:spacing w:after="140" w:line="288" w:lineRule="auto"/>
        <w:ind w:left="720"/>
        <w:rPr>
          <w:color w:val="6AA84F"/>
        </w:rPr>
      </w:pPr>
      <w:r>
        <w:rPr>
          <w:noProof/>
        </w:rPr>
        <w:lastRenderedPageBreak/>
        <w:drawing>
          <wp:inline distT="0" distB="0" distL="0" distR="0" wp14:anchorId="25DFDCAF" wp14:editId="25DFDCB0">
            <wp:extent cx="4200525" cy="9010650"/>
            <wp:effectExtent l="0" t="0" r="0" b="0"/>
            <wp:docPr id="54"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2.png"/>
                    <pic:cNvPicPr>
                      <a:picLocks noChangeAspect="1" noChangeArrowheads="1"/>
                    </pic:cNvPicPr>
                  </pic:nvPicPr>
                  <pic:blipFill>
                    <a:blip r:embed="rId53"/>
                    <a:stretch>
                      <a:fillRect/>
                    </a:stretch>
                  </pic:blipFill>
                  <pic:spPr bwMode="auto">
                    <a:xfrm>
                      <a:off x="0" y="0"/>
                      <a:ext cx="4200525" cy="9010650"/>
                    </a:xfrm>
                    <a:prstGeom prst="rect">
                      <a:avLst/>
                    </a:prstGeom>
                    <a:noFill/>
                  </pic:spPr>
                </pic:pic>
              </a:graphicData>
            </a:graphic>
          </wp:inline>
        </w:drawing>
      </w:r>
    </w:p>
    <w:p w14:paraId="25DFDBE2" w14:textId="77777777" w:rsidR="000566CC" w:rsidRDefault="002177CF">
      <w:pPr>
        <w:pStyle w:val="normal1"/>
        <w:spacing w:after="140" w:line="288" w:lineRule="auto"/>
        <w:ind w:left="720"/>
        <w:rPr>
          <w:color w:val="6AA84F"/>
        </w:rPr>
      </w:pPr>
      <w:r>
        <w:lastRenderedPageBreak/>
        <w:t>The navigational warning is consumed and displayed.</w:t>
      </w:r>
    </w:p>
    <w:p w14:paraId="25DFDBE3" w14:textId="77777777" w:rsidR="000566CC" w:rsidRDefault="002177CF">
      <w:pPr>
        <w:pStyle w:val="normal1"/>
        <w:numPr>
          <w:ilvl w:val="0"/>
          <w:numId w:val="3"/>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displayed navigational warnings were compared to the ones seen on </w:t>
      </w:r>
      <w:hyperlink r:id="rId54">
        <w:r>
          <w:rPr>
            <w:rFonts w:ascii="Liberation Serif" w:eastAsia="Liberation Serif" w:hAnsi="Liberation Serif" w:cs="Liberation Serif"/>
            <w:color w:val="467886"/>
            <w:sz w:val="24"/>
            <w:szCs w:val="24"/>
            <w:u w:val="single"/>
          </w:rPr>
          <w:t>https://navui.amsaconnectivity.net</w:t>
        </w:r>
      </w:hyperlink>
      <w:r>
        <w:rPr>
          <w:rFonts w:ascii="Liberation Serif" w:eastAsia="Liberation Serif" w:hAnsi="Liberation Serif" w:cs="Liberation Serif"/>
          <w:color w:val="000000"/>
          <w:sz w:val="24"/>
          <w:szCs w:val="24"/>
        </w:rPr>
        <w:t xml:space="preserve"> and found to be identical.</w:t>
      </w:r>
    </w:p>
    <w:p w14:paraId="25DFDBE4" w14:textId="77777777" w:rsidR="000566CC" w:rsidRDefault="002177CF">
      <w:pPr>
        <w:pStyle w:val="normal1"/>
        <w:spacing w:after="140" w:line="288" w:lineRule="auto"/>
        <w:ind w:left="720"/>
      </w:pPr>
      <w:r>
        <w:rPr>
          <w:noProof/>
        </w:rPr>
        <w:drawing>
          <wp:inline distT="0" distB="0" distL="0" distR="0" wp14:anchorId="25DFDCB1" wp14:editId="25DFDCB2">
            <wp:extent cx="5448935" cy="3686175"/>
            <wp:effectExtent l="0" t="0" r="0" b="0"/>
            <wp:docPr id="55"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0.png"/>
                    <pic:cNvPicPr>
                      <a:picLocks noChangeAspect="1" noChangeArrowheads="1"/>
                    </pic:cNvPicPr>
                  </pic:nvPicPr>
                  <pic:blipFill>
                    <a:blip r:embed="rId55"/>
                    <a:stretch>
                      <a:fillRect/>
                    </a:stretch>
                  </pic:blipFill>
                  <pic:spPr bwMode="auto">
                    <a:xfrm>
                      <a:off x="0" y="0"/>
                      <a:ext cx="5448935" cy="3686175"/>
                    </a:xfrm>
                    <a:prstGeom prst="rect">
                      <a:avLst/>
                    </a:prstGeom>
                    <a:noFill/>
                  </pic:spPr>
                </pic:pic>
              </a:graphicData>
            </a:graphic>
          </wp:inline>
        </w:drawing>
      </w:r>
    </w:p>
    <w:p w14:paraId="25DFDBE5" w14:textId="77777777" w:rsidR="000566CC" w:rsidRDefault="002177CF">
      <w:pPr>
        <w:pStyle w:val="normal1"/>
        <w:spacing w:after="140" w:line="288" w:lineRule="auto"/>
        <w:ind w:left="720"/>
        <w:rPr>
          <w:color w:val="FF0000"/>
        </w:rPr>
      </w:pPr>
      <w:r>
        <w:t xml:space="preserve">An identical navigation warning, was found at </w:t>
      </w:r>
      <w:hyperlink r:id="rId56">
        <w:r>
          <w:rPr>
            <w:color w:val="1155CC"/>
            <w:u w:val="single"/>
          </w:rPr>
          <w:t>https://navui.amsaconnectivity.net/</w:t>
        </w:r>
      </w:hyperlink>
      <w:r>
        <w:t xml:space="preserve"> </w:t>
      </w:r>
    </w:p>
    <w:p w14:paraId="25DFDBE6" w14:textId="77777777" w:rsidR="000566CC" w:rsidRDefault="002177CF">
      <w:pPr>
        <w:pStyle w:val="normal1"/>
        <w:spacing w:after="140" w:line="288" w:lineRule="auto"/>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 xml:space="preserve">The above tests were repeated using LinkID </w:t>
      </w:r>
      <w:sdt>
        <w:sdtPr>
          <w:tag w:val="goog_rdk_47"/>
          <w:id w:val="-501749993"/>
        </w:sdtPr>
        <w:sdtEndPr/>
        <w:sdtContent/>
      </w:sdt>
      <w:sdt>
        <w:sdtPr>
          <w:tag w:val="goog_rdk_48"/>
          <w:id w:val="-869913642"/>
        </w:sdtPr>
        <w:sdtEndPr/>
        <w:sdtContent>
          <w:r>
            <w:rPr>
              <w:rFonts w:ascii="Liberation Serif" w:eastAsia="Liberation Serif" w:hAnsi="Liberation Serif" w:cs="Liberation Serif"/>
              <w:color w:val="FF0000"/>
              <w:sz w:val="24"/>
              <w:szCs w:val="24"/>
            </w:rPr>
            <w:t xml:space="preserve">19 </w:t>
          </w:r>
        </w:sdtContent>
      </w:sdt>
      <w:r>
        <w:rPr>
          <w:rFonts w:ascii="Liberation Serif" w:eastAsia="Liberation Serif" w:hAnsi="Liberation Serif" w:cs="Liberation Serif"/>
          <w:color w:val="FF0000"/>
          <w:sz w:val="24"/>
          <w:szCs w:val="24"/>
        </w:rPr>
        <w:t>in step (f).</w:t>
      </w:r>
    </w:p>
    <w:p w14:paraId="25DFDBE7" w14:textId="77777777" w:rsidR="000566CC" w:rsidRDefault="002177CF">
      <w:pPr>
        <w:pStyle w:val="normal1"/>
        <w:spacing w:after="140" w:line="288" w:lineRule="auto"/>
        <w:rPr>
          <w:color w:val="38761D"/>
        </w:rPr>
      </w:pPr>
      <w:r>
        <w:rPr>
          <w:color w:val="38761D"/>
        </w:rPr>
        <w:t>As the link id’s cannot be controlled the test was not repeated</w:t>
      </w:r>
    </w:p>
    <w:p w14:paraId="25DFDBE8"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Based on the above observations, the test was deemed to be successful. </w:t>
      </w:r>
      <w:r>
        <w:rPr>
          <w:rFonts w:ascii="Liberation Serif" w:eastAsia="Liberation Serif" w:hAnsi="Liberation Serif" w:cs="Liberation Serif"/>
          <w:b/>
          <w:color w:val="3A7D22"/>
          <w:sz w:val="24"/>
          <w:szCs w:val="24"/>
        </w:rPr>
        <w:t>[PASS]</w:t>
      </w:r>
    </w:p>
    <w:p w14:paraId="25DFDBE9" w14:textId="77777777" w:rsidR="000566CC" w:rsidRDefault="002177CF">
      <w:pPr>
        <w:pStyle w:val="Heading3"/>
        <w:ind w:left="720" w:right="0" w:hanging="720"/>
      </w:pPr>
      <w:r>
        <w:t>[VDES Measurements]</w:t>
      </w:r>
    </w:p>
    <w:p w14:paraId="25DFDBEA" w14:textId="77777777" w:rsidR="000566CC" w:rsidRDefault="0043674F">
      <w:pPr>
        <w:pStyle w:val="normal1"/>
        <w:spacing w:after="140" w:line="288" w:lineRule="auto"/>
      </w:pPr>
      <w:sdt>
        <w:sdtPr>
          <w:tag w:val="goog_rdk_50"/>
          <w:id w:val="260029361"/>
        </w:sdtPr>
        <w:sdtEndPr/>
        <w:sdtContent>
          <w:r w:rsidR="002177CF">
            <w:t>Sternula lacks the equipment to do all of these tests and would be better suited to be conducted in collaboration with the manufacturer of the VDES equipment.</w:t>
          </w:r>
        </w:sdtContent>
      </w:sdt>
    </w:p>
    <w:p w14:paraId="25DFDBEB"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[During the above test, following measurements were executed:</w:t>
      </w:r>
    </w:p>
    <w:p w14:paraId="25DFDBEC"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Spectrum mask measurement for the VDE-TER transmissions from the shore side VDES Base Station for LinkID 19.</w:t>
      </w:r>
    </w:p>
    <w:p w14:paraId="25DFDBED"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Spectrum mask measurement for the VDE-TER transmissions from the shore side VDES Base Station for LinkID 17.</w:t>
      </w:r>
    </w:p>
    <w:p w14:paraId="25DFDBEE"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Waterfall plot with time axis downwards and spectrum heat colors horizontally for LinkID 19.</w:t>
      </w:r>
    </w:p>
    <w:p w14:paraId="25DFDBEF"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Waterfall plot with time axis downwards and spectrum heat colors horizontally for LinkID 17.</w:t>
      </w:r>
    </w:p>
    <w:p w14:paraId="25DFDBF0"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from SAAB R6:</w:t>
      </w:r>
    </w:p>
    <w:p w14:paraId="25DFDBF1" w14:textId="77777777" w:rsidR="000566CC" w:rsidRDefault="002177CF">
      <w:pPr>
        <w:pStyle w:val="normal1"/>
        <w:numPr>
          <w:ilvl w:val="1"/>
          <w:numId w:val="5"/>
        </w:numPr>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The RSSI before the test (noise level, for the SNR calculation)</w:t>
      </w:r>
    </w:p>
    <w:p w14:paraId="25DFDBF2" w14:textId="77777777" w:rsidR="000566CC" w:rsidRDefault="002177CF">
      <w:pPr>
        <w:pStyle w:val="normal1"/>
        <w:numPr>
          <w:ilvl w:val="1"/>
          <w:numId w:val="5"/>
        </w:numPr>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RSSI for the received VDES base station signals throughout the test (plot)</w:t>
      </w:r>
    </w:p>
    <w:p w14:paraId="25DFDBF3" w14:textId="77777777" w:rsidR="000566CC" w:rsidRDefault="002177CF">
      <w:pPr>
        <w:pStyle w:val="normal1"/>
        <w:numPr>
          <w:ilvl w:val="1"/>
          <w:numId w:val="5"/>
        </w:numPr>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List of VDL packets received and6 CRC</w:t>
      </w:r>
    </w:p>
    <w:p w14:paraId="25DFDBF4" w14:textId="77777777" w:rsidR="000566CC" w:rsidRDefault="002177CF">
      <w:pPr>
        <w:pStyle w:val="normal1"/>
        <w:numPr>
          <w:ilvl w:val="0"/>
          <w:numId w:val="5"/>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From the above, calculation of:</w:t>
      </w:r>
    </w:p>
    <w:p w14:paraId="25DFDBF5" w14:textId="77777777" w:rsidR="000566CC" w:rsidRDefault="002177CF">
      <w:pPr>
        <w:pStyle w:val="normal1"/>
        <w:numPr>
          <w:ilvl w:val="1"/>
          <w:numId w:val="5"/>
        </w:numPr>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Packet Error Rate (PER)</w:t>
      </w:r>
    </w:p>
    <w:p w14:paraId="25DFDBF6" w14:textId="77777777" w:rsidR="000566CC" w:rsidRDefault="002177CF">
      <w:pPr>
        <w:pStyle w:val="normal1"/>
        <w:numPr>
          <w:ilvl w:val="1"/>
          <w:numId w:val="5"/>
        </w:numPr>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Signal to Noise Ratio at the ship side receiver input (SNR)</w:t>
      </w:r>
    </w:p>
    <w:p w14:paraId="25DFDBF7"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Based on these measurements following verification was performed:</w:t>
      </w:r>
    </w:p>
    <w:p w14:paraId="25DFDBF8" w14:textId="77777777" w:rsidR="000566CC" w:rsidRDefault="002177CF">
      <w:pPr>
        <w:pStyle w:val="normal1"/>
        <w:numPr>
          <w:ilvl w:val="0"/>
          <w:numId w:val="6"/>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Check that the used VDE-TER frequencies were used according to the radio regulations, see [VDES]. </w:t>
      </w:r>
      <w:r>
        <w:rPr>
          <w:rFonts w:ascii="Liberation Serif" w:eastAsia="Liberation Serif" w:hAnsi="Liberation Serif" w:cs="Liberation Serif"/>
          <w:b/>
          <w:color w:val="3A7D22"/>
          <w:sz w:val="24"/>
          <w:szCs w:val="24"/>
        </w:rPr>
        <w:t>[PASS]</w:t>
      </w:r>
    </w:p>
    <w:p w14:paraId="25DFDBF9" w14:textId="77777777" w:rsidR="000566CC" w:rsidRDefault="002177CF">
      <w:pPr>
        <w:pStyle w:val="normal1"/>
        <w:numPr>
          <w:ilvl w:val="0"/>
          <w:numId w:val="6"/>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Check that the transmitter spectrum mask was obeyed according to [VDES], for all LinkID’s in use. </w:t>
      </w:r>
      <w:r>
        <w:rPr>
          <w:rFonts w:ascii="Liberation Serif" w:eastAsia="Liberation Serif" w:hAnsi="Liberation Serif" w:cs="Liberation Serif"/>
          <w:b/>
          <w:color w:val="3A7D22"/>
          <w:sz w:val="24"/>
          <w:szCs w:val="24"/>
        </w:rPr>
        <w:t>[PASS]</w:t>
      </w:r>
    </w:p>
    <w:p w14:paraId="25DFDBFA" w14:textId="77777777" w:rsidR="000566CC" w:rsidRDefault="002177CF">
      <w:pPr>
        <w:pStyle w:val="normal1"/>
        <w:numPr>
          <w:ilvl w:val="0"/>
          <w:numId w:val="6"/>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Check that the ship side receiver did receive all packets (error rate 0), as no interference is possible in the cable. </w:t>
      </w:r>
      <w:r>
        <w:rPr>
          <w:rFonts w:ascii="Liberation Serif" w:eastAsia="Liberation Serif" w:hAnsi="Liberation Serif" w:cs="Liberation Serif"/>
          <w:b/>
          <w:color w:val="3A7D22"/>
          <w:sz w:val="24"/>
          <w:szCs w:val="24"/>
        </w:rPr>
        <w:t>[PASS]</w:t>
      </w:r>
      <w:r>
        <w:rPr>
          <w:rFonts w:ascii="Liberation Serif" w:eastAsia="Liberation Serif" w:hAnsi="Liberation Serif" w:cs="Liberation Serif"/>
          <w:color w:val="000000"/>
          <w:sz w:val="24"/>
          <w:szCs w:val="24"/>
        </w:rPr>
        <w:t xml:space="preserve"> </w:t>
      </w:r>
      <w:sdt>
        <w:sdtPr>
          <w:tag w:val="goog_rdk_52"/>
          <w:id w:val="-407614871"/>
        </w:sdtPr>
        <w:sdtEndPr/>
        <w:sdtContent>
          <w:r>
            <w:rPr>
              <w:rFonts w:ascii="Liberation Serif" w:eastAsia="Liberation Serif" w:hAnsi="Liberation Serif" w:cs="Liberation Serif"/>
              <w:color w:val="000000"/>
              <w:sz w:val="24"/>
              <w:szCs w:val="24"/>
            </w:rPr>
            <w:t>]</w:t>
          </w:r>
        </w:sdtContent>
      </w:sdt>
    </w:p>
    <w:p w14:paraId="25DFDBFB" w14:textId="77777777" w:rsidR="000566CC" w:rsidRDefault="002177CF">
      <w:pPr>
        <w:pStyle w:val="Heading2"/>
        <w:ind w:left="576" w:right="0" w:hanging="576"/>
      </w:pPr>
      <w:r>
        <w:t>Scenario 3: Shore to Ship via multiple connections</w:t>
      </w:r>
    </w:p>
    <w:p w14:paraId="25DFDBFC"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Reference: Figure 1 Overview over the Phase 1 VDES/MMS Test bed.</w:t>
      </w:r>
    </w:p>
    <w:p w14:paraId="25DFDBFD"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Involved subsystems: see Figure 4, the red crossed systems are not relevant for this test.</w:t>
      </w:r>
    </w:p>
    <w:p w14:paraId="25DFDBFE" w14:textId="430AF513" w:rsidR="000566CC" w:rsidRDefault="002177CF">
      <w:pPr>
        <w:pStyle w:val="normal1"/>
      </w:pPr>
      <w:r>
        <w:rPr>
          <w:noProof/>
        </w:rPr>
        <w:drawing>
          <wp:inline distT="0" distB="0" distL="0" distR="0" wp14:anchorId="25DFDCB3" wp14:editId="25DFDCB4">
            <wp:extent cx="6118225" cy="3411220"/>
            <wp:effectExtent l="0" t="0" r="0" b="0"/>
            <wp:docPr id="56" name="Image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6" descr="A screenshot of a computer&#10;&#10;Description automatically generated"/>
                    <pic:cNvPicPr>
                      <a:picLocks noChangeAspect="1" noChangeArrowheads="1"/>
                    </pic:cNvPicPr>
                  </pic:nvPicPr>
                  <pic:blipFill>
                    <a:blip r:embed="rId28"/>
                    <a:stretch>
                      <a:fillRect/>
                    </a:stretch>
                  </pic:blipFill>
                  <pic:spPr bwMode="auto">
                    <a:xfrm>
                      <a:off x="0" y="0"/>
                      <a:ext cx="6118225" cy="3411220"/>
                    </a:xfrm>
                    <a:prstGeom prst="rect">
                      <a:avLst/>
                    </a:prstGeom>
                    <a:noFill/>
                  </pic:spPr>
                </pic:pic>
              </a:graphicData>
            </a:graphic>
          </wp:inline>
        </w:drawing>
      </w:r>
      <w:r w:rsidR="0043674F">
        <w:rPr>
          <w:noProof/>
        </w:rPr>
        <w:pict w14:anchorId="1957D192">
          <v:shape id="Shape18" o:spid="_x0000_s1031" type="#_x0000_t32" style="position:absolute;margin-left:5pt;margin-top:69pt;width:45.6pt;height:39.85pt;z-index:251665408;visibility:visible;mso-wrap-style:square;mso-wrap-distance-left:1pt;mso-wrap-distance-top:1.2pt;mso-wrap-distance-right:1.05pt;mso-wrap-distance-bottom:1.15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" strokecolor="red" strokeweight="3pt">
            <v:stroke joinstyle="miter"/>
          </v:shape>
        </w:pict>
      </w:r>
      <w:r w:rsidR="0043674F">
        <w:rPr>
          <w:noProof/>
        </w:rPr>
        <w:pict w14:anchorId="6FF14E9F">
          <v:shape id="Shape19" o:spid="_x0000_s1030" type="#_x0000_t32" style="position:absolute;margin-left:2pt;margin-top:69pt;width:49.05pt;height:39.85pt;flip:x;z-index:251666432;visibility:visible;mso-wrap-style:square;mso-wrap-distance-left:1pt;mso-wrap-distance-top:1.25pt;mso-wrap-distance-right:.95pt;mso-wrap-distance-bottom:1.2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" strokecolor="red" strokeweight="3pt">
            <v:stroke joinstyle="miter"/>
          </v:shape>
        </w:pict>
      </w:r>
      <w:bookmarkStart w:id="7" w:name="_heading=h.3dy6vkm"/>
    </w:p>
    <w:bookmarkEnd w:id="7"/>
    <w:p w14:paraId="25DFDBFF" w14:textId="77777777" w:rsidR="000566CC" w:rsidRDefault="0043674F">
      <w:pPr>
        <w:pStyle w:val="normal1"/>
        <w:spacing w:before="120" w:after="120"/>
        <w:rPr>
          <w:rFonts w:ascii="Liberation Serif" w:eastAsia="Liberation Serif" w:hAnsi="Liberation Serif" w:cs="Liberation Serif"/>
          <w:i/>
          <w:color w:val="000000"/>
          <w:sz w:val="24"/>
          <w:szCs w:val="24"/>
        </w:rPr>
      </w:pPr>
      <w:sdt>
        <w:sdtPr>
          <w:id w:val="-328595312"/>
          <w:text/>
        </w:sdtPr>
        <w:sdtEndPr/>
        <w:sdtContent>
          <w:r w:rsidR="002177CF">
            <w:rPr>
              <w:rFonts w:ascii="Liberation Serif" w:eastAsia="Liberation Serif" w:hAnsi="Liberation Serif" w:cs="Liberation Serif"/>
              <w:i/>
              <w:color w:val="000000"/>
              <w:sz w:val="24"/>
              <w:szCs w:val="24"/>
            </w:rPr>
            <w:t>Figure 4 Shore to Ship via terrestrial VDES (VDE-TER)</w:t>
          </w:r>
        </w:sdtContent>
      </w:sdt>
    </w:p>
    <w:p w14:paraId="25DFDC00" w14:textId="77777777" w:rsidR="000566CC" w:rsidRDefault="002177CF">
      <w:pPr>
        <w:pStyle w:val="Heading3"/>
        <w:ind w:left="720" w:right="0" w:hanging="720"/>
      </w:pPr>
      <w:r>
        <w:lastRenderedPageBreak/>
        <w:t>Purpose</w:t>
      </w:r>
    </w:p>
    <w:p w14:paraId="25DFDC0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purpose of this test is to verify the proper integration of VDES and internet access in the ship side edge router, for the use case of receiving subject cast data from a S-124 service, both utilizing VDES and 4G internet connection, simulating change of connectivity between two S-124 updates.</w:t>
      </w:r>
    </w:p>
    <w:p w14:paraId="25DFDC02" w14:textId="77777777" w:rsidR="000566CC" w:rsidRDefault="002177CF">
      <w:pPr>
        <w:pStyle w:val="Heading3"/>
        <w:ind w:left="720" w:right="0" w:hanging="720"/>
      </w:pPr>
      <w:r>
        <w:t xml:space="preserve">Test Log </w:t>
      </w:r>
    </w:p>
    <w:p w14:paraId="25DFDC03" w14:textId="77777777" w:rsidR="000566CC" w:rsidRDefault="002177CF">
      <w:pPr>
        <w:pStyle w:val="normal1"/>
        <w:spacing w:after="140" w:line="288" w:lineRule="auto"/>
        <w:rPr>
          <w:rFonts w:ascii="Liberation Serif" w:eastAsia="Liberation Serif" w:hAnsi="Liberation Serif" w:cs="Liberation Serif"/>
          <w:color w:val="6AA84F"/>
          <w:sz w:val="24"/>
          <w:szCs w:val="24"/>
        </w:rPr>
      </w:pPr>
      <w:r>
        <w:rPr>
          <w:rFonts w:ascii="Liberation Serif" w:eastAsia="Liberation Serif" w:hAnsi="Liberation Serif" w:cs="Liberation Serif"/>
          <w:color w:val="000000"/>
          <w:sz w:val="24"/>
          <w:szCs w:val="24"/>
        </w:rPr>
        <w:t xml:space="preserve">The test was executed on the </w:t>
      </w:r>
      <w:r>
        <w:rPr>
          <w:rFonts w:ascii="Liberation Serif" w:eastAsia="Liberation Serif" w:hAnsi="Liberation Serif" w:cs="Liberation Serif"/>
          <w:color w:val="6AA84F"/>
          <w:sz w:val="24"/>
          <w:szCs w:val="24"/>
        </w:rPr>
        <w:t>202</w:t>
      </w:r>
      <w:r>
        <w:rPr>
          <w:color w:val="6AA84F"/>
        </w:rPr>
        <w:t>5-02-26</w:t>
      </w:r>
    </w:p>
    <w:p w14:paraId="25DFDC04"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Following preparations were taken:</w:t>
      </w:r>
    </w:p>
    <w:p w14:paraId="25DFDC05"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Use same VDES setup as in 4.2.2 (a) and (c-f)</w:t>
      </w:r>
    </w:p>
    <w:p w14:paraId="25DFDC06"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It was verified that the Sternula 4G modem was connected to the ship side Edge Router (Sternula MMS Proxy Ship).</w:t>
      </w:r>
    </w:p>
    <w:p w14:paraId="25DFDC07" w14:textId="77777777" w:rsidR="000566CC" w:rsidRDefault="002177CF">
      <w:pPr>
        <w:pStyle w:val="normal1"/>
        <w:spacing w:after="140" w:line="288" w:lineRule="auto"/>
        <w:ind w:left="720"/>
      </w:pPr>
      <w:r>
        <w:t>The picture below shows the 4G modem was connected as well as the VDES ship TRX</w:t>
      </w:r>
    </w:p>
    <w:p w14:paraId="25DFDC08" w14:textId="77777777" w:rsidR="000566CC" w:rsidRDefault="002177CF">
      <w:pPr>
        <w:pStyle w:val="normal1"/>
        <w:spacing w:after="140" w:line="288" w:lineRule="auto"/>
        <w:ind w:left="720"/>
      </w:pPr>
      <w:r>
        <w:rPr>
          <w:noProof/>
        </w:rPr>
        <w:drawing>
          <wp:inline distT="0" distB="0" distL="0" distR="0" wp14:anchorId="25DFDCB9" wp14:editId="25DFDCBA">
            <wp:extent cx="4076065" cy="4076065"/>
            <wp:effectExtent l="0" t="0" r="0" b="0"/>
            <wp:docPr id="59" name="im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3.jpg"/>
                    <pic:cNvPicPr>
                      <a:picLocks noChangeAspect="1" noChangeArrowheads="1"/>
                    </pic:cNvPicPr>
                  </pic:nvPicPr>
                  <pic:blipFill>
                    <a:blip r:embed="rId57"/>
                    <a:stretch>
                      <a:fillRect/>
                    </a:stretch>
                  </pic:blipFill>
                  <pic:spPr bwMode="auto">
                    <a:xfrm>
                      <a:off x="0" y="0"/>
                      <a:ext cx="4076065" cy="4076065"/>
                    </a:xfrm>
                    <a:prstGeom prst="rect">
                      <a:avLst/>
                    </a:prstGeom>
                    <a:noFill/>
                  </pic:spPr>
                </pic:pic>
              </a:graphicData>
            </a:graphic>
          </wp:inline>
        </w:drawing>
      </w:r>
    </w:p>
    <w:p w14:paraId="25DFDC09"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Configure the VDE-TER Gateway </w:t>
      </w:r>
      <w:r>
        <w:t>such that</w:t>
      </w:r>
      <w:r>
        <w:rPr>
          <w:rFonts w:ascii="Liberation Serif" w:eastAsia="Liberation Serif" w:hAnsi="Liberation Serif" w:cs="Liberation Serif"/>
          <w:color w:val="000000"/>
          <w:sz w:val="24"/>
          <w:szCs w:val="24"/>
        </w:rPr>
        <w:t xml:space="preserve"> LinkID 19 is used for the transmission of the data between the VDES Base Station (shore side) and the VDES TRX (Ship side).</w:t>
      </w:r>
    </w:p>
    <w:p w14:paraId="25DFDC0A" w14:textId="77777777" w:rsidR="000566CC" w:rsidRDefault="002177CF">
      <w:pPr>
        <w:pStyle w:val="normal1"/>
        <w:spacing w:after="140" w:line="288" w:lineRule="auto"/>
        <w:ind w:left="720"/>
      </w:pPr>
      <w:r>
        <w:t>4.2.2 G described why Link ID 17 is used over 19.</w:t>
      </w:r>
    </w:p>
    <w:p w14:paraId="25DFDC0B"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MMS Edge </w:t>
      </w:r>
      <w:r>
        <w:t>R</w:t>
      </w:r>
      <w:r>
        <w:rPr>
          <w:rFonts w:ascii="Liberation Serif" w:eastAsia="Liberation Serif" w:hAnsi="Liberation Serif" w:cs="Liberation Serif"/>
          <w:color w:val="000000"/>
          <w:sz w:val="24"/>
          <w:szCs w:val="24"/>
        </w:rPr>
        <w:t>outers were initialized with maritime identities registered in the MIR.</w:t>
      </w:r>
    </w:p>
    <w:p w14:paraId="25DFDC0C" w14:textId="77777777" w:rsidR="000566CC" w:rsidRDefault="002177CF">
      <w:pPr>
        <w:pStyle w:val="normal1"/>
        <w:spacing w:after="140" w:line="288" w:lineRule="auto"/>
        <w:ind w:left="720"/>
      </w:pPr>
      <w:r>
        <w:t>4.2.2 h and 4.1.2 d shows the identities used by Sternula and AIVeNautics.</w:t>
      </w:r>
    </w:p>
    <w:p w14:paraId="25DFDC0D"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 xml:space="preserve">The ship MMS Edge Router was configured to use 4G connectivity when it is available </w:t>
      </w:r>
      <w:r>
        <w:rPr>
          <w:rFonts w:ascii="Liberation Serif" w:eastAsia="Liberation Serif" w:hAnsi="Liberation Serif" w:cs="Liberation Serif"/>
          <w:color w:val="FF0000"/>
          <w:sz w:val="24"/>
          <w:szCs w:val="24"/>
        </w:rPr>
        <w:lastRenderedPageBreak/>
        <w:t>and use VDES as a 2</w:t>
      </w:r>
      <w:r>
        <w:rPr>
          <w:rFonts w:ascii="Liberation Serif" w:eastAsia="Liberation Serif" w:hAnsi="Liberation Serif" w:cs="Liberation Serif"/>
          <w:color w:val="FF0000"/>
          <w:sz w:val="24"/>
          <w:szCs w:val="24"/>
          <w:vertAlign w:val="superscript"/>
        </w:rPr>
        <w:t>nd</w:t>
      </w:r>
      <w:r>
        <w:rPr>
          <w:rFonts w:ascii="Liberation Serif" w:eastAsia="Liberation Serif" w:hAnsi="Liberation Serif" w:cs="Liberation Serif"/>
          <w:color w:val="FF0000"/>
          <w:sz w:val="24"/>
          <w:szCs w:val="24"/>
        </w:rPr>
        <w:t xml:space="preserve"> priority.</w:t>
      </w:r>
    </w:p>
    <w:p w14:paraId="25DFDC0E" w14:textId="77777777" w:rsidR="000566CC" w:rsidRDefault="002177CF">
      <w:pPr>
        <w:pStyle w:val="normal1"/>
        <w:spacing w:after="140" w:line="288" w:lineRule="auto"/>
        <w:ind w:left="720"/>
        <w:rPr>
          <w:color w:val="38761D"/>
        </w:rPr>
      </w:pPr>
      <w:r>
        <w:rPr>
          <w:color w:val="38761D"/>
        </w:rPr>
        <w:t>(e) The MMS Ship Edge Router does not support priority of which route to receive from instead the test was done by first connecting to the 4G modem and doing the relevant steps for the 4G modem, afterwards is was disconnected and the VDES connection was established and then all relevant steps to VDES was done, with the idea if all steps could be done under one sessions with no disconnect the task was fulfilled similar to the original goal.</w:t>
      </w:r>
    </w:p>
    <w:p w14:paraId="25DFDC0F" w14:textId="77777777" w:rsidR="000566CC" w:rsidRDefault="002177CF">
      <w:pPr>
        <w:pStyle w:val="normal1"/>
        <w:spacing w:after="140" w:line="288" w:lineRule="auto"/>
        <w:ind w:left="720"/>
      </w:pPr>
      <w:r>
        <w:t>The picture below depicts that the VDES connection was turned off</w:t>
      </w:r>
    </w:p>
    <w:p w14:paraId="25DFDC10" w14:textId="77777777" w:rsidR="000566CC" w:rsidRDefault="002177CF">
      <w:pPr>
        <w:pStyle w:val="normal1"/>
        <w:spacing w:after="140" w:line="288" w:lineRule="auto"/>
        <w:ind w:left="720"/>
        <w:rPr>
          <w:color w:val="38761D"/>
        </w:rPr>
      </w:pPr>
      <w:r>
        <w:rPr>
          <w:noProof/>
        </w:rPr>
        <w:drawing>
          <wp:inline distT="0" distB="0" distL="0" distR="0" wp14:anchorId="25DFDCBB" wp14:editId="25DFDCBC">
            <wp:extent cx="6120130" cy="1447800"/>
            <wp:effectExtent l="0" t="0" r="0" b="0"/>
            <wp:docPr id="60"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4.png"/>
                    <pic:cNvPicPr>
                      <a:picLocks noChangeAspect="1" noChangeArrowheads="1"/>
                    </pic:cNvPicPr>
                  </pic:nvPicPr>
                  <pic:blipFill>
                    <a:blip r:embed="rId58"/>
                    <a:stretch>
                      <a:fillRect/>
                    </a:stretch>
                  </pic:blipFill>
                  <pic:spPr bwMode="auto">
                    <a:xfrm>
                      <a:off x="0" y="0"/>
                      <a:ext cx="6120130" cy="1447800"/>
                    </a:xfrm>
                    <a:prstGeom prst="rect">
                      <a:avLst/>
                    </a:prstGeom>
                    <a:noFill/>
                  </pic:spPr>
                </pic:pic>
              </a:graphicData>
            </a:graphic>
          </wp:inline>
        </w:drawing>
      </w:r>
      <w:r>
        <w:rPr>
          <w:color w:val="38761D"/>
        </w:rPr>
        <w:t xml:space="preserve"> </w:t>
      </w:r>
    </w:p>
    <w:p w14:paraId="25DFDC11" w14:textId="77777777" w:rsidR="000566CC" w:rsidRDefault="0043674F">
      <w:pPr>
        <w:pStyle w:val="normal1"/>
        <w:numPr>
          <w:ilvl w:val="0"/>
          <w:numId w:val="7"/>
        </w:numPr>
        <w:spacing w:after="140" w:line="288" w:lineRule="auto"/>
        <w:ind w:left="720" w:hanging="360"/>
        <w:rPr>
          <w:rFonts w:ascii="Liberation Serif" w:eastAsia="Liberation Serif" w:hAnsi="Liberation Serif" w:cs="Liberation Serif"/>
          <w:color w:val="FF0000"/>
          <w:sz w:val="24"/>
          <w:szCs w:val="24"/>
        </w:rPr>
      </w:pPr>
      <w:sdt>
        <w:sdtPr>
          <w:tag w:val="goog_rdk_54"/>
          <w:id w:val="-1201775452"/>
        </w:sdtPr>
        <w:sdtEndPr/>
        <w:sdtContent/>
      </w:sdt>
      <w:r w:rsidR="002177CF">
        <w:rPr>
          <w:rFonts w:ascii="Liberation Serif" w:eastAsia="Liberation Serif" w:hAnsi="Liberation Serif" w:cs="Liberation Serif"/>
          <w:color w:val="FF0000"/>
          <w:sz w:val="24"/>
          <w:szCs w:val="24"/>
        </w:rPr>
        <w:t>Initialize the AIVeNautics S-124 warning service with 2 initial test warnings in the Aalborg area.</w:t>
      </w:r>
    </w:p>
    <w:p w14:paraId="25DFDC12" w14:textId="77777777" w:rsidR="000566CC" w:rsidRDefault="002177CF">
      <w:pPr>
        <w:pStyle w:val="normal1"/>
        <w:spacing w:after="140" w:line="288" w:lineRule="auto"/>
        <w:ind w:left="720"/>
        <w:rPr>
          <w:color w:val="6AA84F"/>
        </w:rPr>
      </w:pPr>
      <w:r>
        <w:rPr>
          <w:color w:val="FF0000"/>
        </w:rPr>
        <w:t xml:space="preserve">(f) </w:t>
      </w:r>
      <w:sdt>
        <w:sdtPr>
          <w:tag w:val="goog_rdk_55"/>
          <w:id w:val="1397249113"/>
        </w:sdtPr>
        <w:sdtEndPr/>
        <w:sdtContent/>
      </w:sdt>
      <w:r>
        <w:rPr>
          <w:color w:val="6AA84F"/>
        </w:rPr>
        <w:t>Initialize the Danish Maritime Authority S-124 warning service with 2 initial test warnings in the Aalborg area.</w:t>
      </w:r>
    </w:p>
    <w:p w14:paraId="25DFDC13"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SECOM Gateway was initialized to pull the list of actually active navigational warnings from the Australian S-124 service in 5-minute intervals and send them to the MMS router network.</w:t>
      </w:r>
    </w:p>
    <w:p w14:paraId="25DFDC14" w14:textId="77777777" w:rsidR="000566CC" w:rsidRDefault="002177CF">
      <w:pPr>
        <w:pStyle w:val="normal1"/>
        <w:spacing w:after="140" w:line="288" w:lineRule="auto"/>
        <w:ind w:left="720"/>
        <w:rPr>
          <w:color w:val="6AA84F"/>
        </w:rPr>
      </w:pPr>
      <w:r>
        <w:t xml:space="preserve">(g) </w:t>
      </w:r>
      <w:r>
        <w:rPr>
          <w:color w:val="6AA84F"/>
        </w:rPr>
        <w:t>The SECOM Gateway was initialized to subscribe to S-124 navigational warnings from the Danish Maritime Authority.</w:t>
      </w:r>
    </w:p>
    <w:p w14:paraId="25DFDC15"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 xml:space="preserve">The ChatSea Application was started and connected to the Sternula MMS Proxy Ship (Ship side Edge Router), and it was verified that the ChatSea application did not show any previously downloaded data </w:t>
      </w:r>
      <w:r>
        <w:rPr>
          <w:rFonts w:ascii="Liberation Serif" w:eastAsia="Liberation Serif" w:hAnsi="Liberation Serif" w:cs="Liberation Serif"/>
          <w:color w:val="FF0000"/>
          <w:sz w:val="24"/>
          <w:szCs w:val="24"/>
        </w:rPr>
        <w:t>(Australian map is free from S-124 data)</w:t>
      </w:r>
      <w:r>
        <w:rPr>
          <w:rFonts w:ascii="Liberation Serif" w:eastAsia="Liberation Serif" w:hAnsi="Liberation Serif" w:cs="Liberation Serif"/>
          <w:color w:val="000000"/>
          <w:sz w:val="24"/>
          <w:szCs w:val="24"/>
        </w:rPr>
        <w:t>.</w:t>
      </w:r>
    </w:p>
    <w:p w14:paraId="25DFDC16"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ChatSea Application subscribed to MMS specific MRN of the S-124 navigational warning service from AIVeNautics.</w:t>
      </w:r>
    </w:p>
    <w:p w14:paraId="25DFDC17" w14:textId="77777777" w:rsidR="000566CC" w:rsidRDefault="002177CF">
      <w:pPr>
        <w:pStyle w:val="normal1"/>
        <w:spacing w:after="140" w:line="288" w:lineRule="auto"/>
        <w:ind w:left="720"/>
      </w:pPr>
      <w:r>
        <w:t xml:space="preserve">From the pictures below it can be seen that the ChatSea agent connected and subscriptions for s-124 was sent using 4G </w:t>
      </w:r>
    </w:p>
    <w:p w14:paraId="25DFDC18" w14:textId="77777777" w:rsidR="000566CC" w:rsidRDefault="002177CF">
      <w:pPr>
        <w:pStyle w:val="normal1"/>
        <w:spacing w:after="140" w:line="288" w:lineRule="auto"/>
        <w:ind w:left="720"/>
      </w:pPr>
      <w:r>
        <w:rPr>
          <w:noProof/>
        </w:rPr>
        <w:lastRenderedPageBreak/>
        <w:drawing>
          <wp:inline distT="0" distB="0" distL="0" distR="0" wp14:anchorId="25DFDCBD" wp14:editId="25DFDCBE">
            <wp:extent cx="6120130" cy="2451100"/>
            <wp:effectExtent l="0" t="0" r="0" b="0"/>
            <wp:docPr id="6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19.png"/>
                    <pic:cNvPicPr>
                      <a:picLocks noChangeAspect="1" noChangeArrowheads="1"/>
                    </pic:cNvPicPr>
                  </pic:nvPicPr>
                  <pic:blipFill>
                    <a:blip r:embed="rId59"/>
                    <a:stretch>
                      <a:fillRect/>
                    </a:stretch>
                  </pic:blipFill>
                  <pic:spPr bwMode="auto">
                    <a:xfrm>
                      <a:off x="0" y="0"/>
                      <a:ext cx="6120130" cy="2451100"/>
                    </a:xfrm>
                    <a:prstGeom prst="rect">
                      <a:avLst/>
                    </a:prstGeom>
                    <a:noFill/>
                  </pic:spPr>
                </pic:pic>
              </a:graphicData>
            </a:graphic>
          </wp:inline>
        </w:drawing>
      </w:r>
    </w:p>
    <w:p w14:paraId="25DFDC19"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Wait 5 minutes to allow for the updated list to penetrate to the ship side edge router.</w:t>
      </w:r>
    </w:p>
    <w:p w14:paraId="25DFDC1A"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following results were observed:</w:t>
      </w:r>
    </w:p>
    <w:p w14:paraId="25DFDC1B"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2 navigational warnings from the S-124 service were received and displayed on the ChatSea application.</w:t>
      </w:r>
    </w:p>
    <w:p w14:paraId="25DFDC1C" w14:textId="77777777" w:rsidR="000566CC" w:rsidRDefault="002177CF">
      <w:pPr>
        <w:pStyle w:val="normal1"/>
        <w:spacing w:after="140" w:line="288" w:lineRule="auto"/>
        <w:ind w:left="720"/>
        <w:rPr>
          <w:rFonts w:ascii="Liberation Serif" w:eastAsia="Liberation Serif" w:hAnsi="Liberation Serif" w:cs="Liberation Serif"/>
          <w:color w:val="000000"/>
          <w:sz w:val="24"/>
          <w:szCs w:val="24"/>
        </w:rPr>
      </w:pPr>
      <w:r>
        <w:rPr>
          <w:noProof/>
        </w:rPr>
        <w:lastRenderedPageBreak/>
        <w:drawing>
          <wp:inline distT="0" distB="0" distL="0" distR="0" wp14:anchorId="25DFDCBF" wp14:editId="25DFDCC0">
            <wp:extent cx="3046730" cy="6348730"/>
            <wp:effectExtent l="0" t="0" r="0" b="0"/>
            <wp:docPr id="62"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6.png"/>
                    <pic:cNvPicPr>
                      <a:picLocks noChangeAspect="1" noChangeArrowheads="1"/>
                    </pic:cNvPicPr>
                  </pic:nvPicPr>
                  <pic:blipFill>
                    <a:blip r:embed="rId60"/>
                    <a:stretch>
                      <a:fillRect/>
                    </a:stretch>
                  </pic:blipFill>
                  <pic:spPr bwMode="auto">
                    <a:xfrm>
                      <a:off x="0" y="0"/>
                      <a:ext cx="3046730" cy="6348730"/>
                    </a:xfrm>
                    <a:prstGeom prst="rect">
                      <a:avLst/>
                    </a:prstGeom>
                    <a:noFill/>
                  </pic:spPr>
                </pic:pic>
              </a:graphicData>
            </a:graphic>
          </wp:inline>
        </w:drawing>
      </w:r>
    </w:p>
    <w:p w14:paraId="25DFDC1D" w14:textId="77777777" w:rsidR="000566CC" w:rsidRDefault="002177CF">
      <w:pPr>
        <w:pStyle w:val="normal1"/>
        <w:spacing w:after="140" w:line="288" w:lineRule="auto"/>
        <w:ind w:left="720"/>
      </w:pPr>
      <w:r>
        <w:t>The navigational warnings are consumed and displayed.</w:t>
      </w:r>
    </w:p>
    <w:p w14:paraId="25DFDC1E"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 the log of the ship side MMS Edge Router, it was checked that the data was transported through 4G.</w:t>
      </w:r>
    </w:p>
    <w:p w14:paraId="25DFDC1F" w14:textId="77777777" w:rsidR="000566CC" w:rsidRDefault="002177CF">
      <w:pPr>
        <w:pStyle w:val="normal1"/>
        <w:spacing w:after="140" w:line="288" w:lineRule="auto"/>
        <w:ind w:left="720"/>
      </w:pPr>
      <w:r>
        <w:t xml:space="preserve">The picture below shows the MMS Proxy ship receiving 2 messages. </w:t>
      </w:r>
    </w:p>
    <w:p w14:paraId="25DFDC20" w14:textId="77777777" w:rsidR="000566CC" w:rsidRDefault="002177CF">
      <w:pPr>
        <w:pStyle w:val="normal1"/>
        <w:spacing w:after="140" w:line="288" w:lineRule="auto"/>
        <w:ind w:left="720"/>
      </w:pPr>
      <w:r>
        <w:rPr>
          <w:noProof/>
        </w:rPr>
        <w:drawing>
          <wp:inline distT="0" distB="0" distL="0" distR="0" wp14:anchorId="25DFDCC1" wp14:editId="25DFDCC2">
            <wp:extent cx="6120130" cy="901700"/>
            <wp:effectExtent l="0" t="0" r="0" b="0"/>
            <wp:docPr id="6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png"/>
                    <pic:cNvPicPr>
                      <a:picLocks noChangeAspect="1" noChangeArrowheads="1"/>
                    </pic:cNvPicPr>
                  </pic:nvPicPr>
                  <pic:blipFill>
                    <a:blip r:embed="rId61"/>
                    <a:stretch>
                      <a:fillRect/>
                    </a:stretch>
                  </pic:blipFill>
                  <pic:spPr bwMode="auto">
                    <a:xfrm>
                      <a:off x="0" y="0"/>
                      <a:ext cx="6120130" cy="901700"/>
                    </a:xfrm>
                    <a:prstGeom prst="rect">
                      <a:avLst/>
                    </a:prstGeom>
                    <a:noFill/>
                  </pic:spPr>
                </pic:pic>
              </a:graphicData>
            </a:graphic>
          </wp:inline>
        </w:drawing>
      </w:r>
    </w:p>
    <w:p w14:paraId="25DFDC2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Then, following changes were performed to the test setup:</w:t>
      </w:r>
    </w:p>
    <w:p w14:paraId="25DFDC22"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lastRenderedPageBreak/>
        <w:t>The 4G connection was disconnected from the ship side MMS Edge Router.</w:t>
      </w:r>
    </w:p>
    <w:p w14:paraId="25DFDC23" w14:textId="77777777" w:rsidR="000566CC" w:rsidRDefault="002177CF">
      <w:pPr>
        <w:pStyle w:val="normal1"/>
        <w:spacing w:after="140" w:line="288" w:lineRule="auto"/>
        <w:ind w:left="720"/>
      </w:pPr>
      <w:r>
        <w:t>The picture below shows that the 4G connection was disconnected</w:t>
      </w:r>
    </w:p>
    <w:p w14:paraId="25DFDC24" w14:textId="77777777" w:rsidR="000566CC" w:rsidRDefault="002177CF">
      <w:pPr>
        <w:pStyle w:val="normal1"/>
        <w:spacing w:after="140" w:line="288" w:lineRule="auto"/>
        <w:ind w:left="720"/>
      </w:pPr>
      <w:r>
        <w:rPr>
          <w:noProof/>
        </w:rPr>
        <w:drawing>
          <wp:inline distT="0" distB="0" distL="0" distR="0" wp14:anchorId="25DFDCC3" wp14:editId="25DFDCC4">
            <wp:extent cx="5857875" cy="2114550"/>
            <wp:effectExtent l="0" t="0" r="0" b="0"/>
            <wp:docPr id="6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png"/>
                    <pic:cNvPicPr>
                      <a:picLocks noChangeAspect="1" noChangeArrowheads="1"/>
                    </pic:cNvPicPr>
                  </pic:nvPicPr>
                  <pic:blipFill>
                    <a:blip r:embed="rId62"/>
                    <a:stretch>
                      <a:fillRect/>
                    </a:stretch>
                  </pic:blipFill>
                  <pic:spPr bwMode="auto">
                    <a:xfrm>
                      <a:off x="0" y="0"/>
                      <a:ext cx="5857875" cy="2114550"/>
                    </a:xfrm>
                    <a:prstGeom prst="rect">
                      <a:avLst/>
                    </a:prstGeom>
                    <a:noFill/>
                  </pic:spPr>
                </pic:pic>
              </a:graphicData>
            </a:graphic>
          </wp:inline>
        </w:drawing>
      </w:r>
    </w:p>
    <w:p w14:paraId="25DFDC25" w14:textId="77777777" w:rsidR="000566CC" w:rsidRDefault="002177CF">
      <w:pPr>
        <w:pStyle w:val="normal1"/>
        <w:numPr>
          <w:ilvl w:val="0"/>
          <w:numId w:val="7"/>
        </w:numPr>
        <w:spacing w:after="140" w:line="288" w:lineRule="auto"/>
        <w:ind w:left="720" w:hanging="360"/>
      </w:pPr>
      <w:r>
        <w:t>The MMS Proxy ship is connected VDES Ship TRX</w:t>
      </w:r>
    </w:p>
    <w:p w14:paraId="25DFDC26"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1 more navigational warning was added to the S-124 service.</w:t>
      </w:r>
    </w:p>
    <w:p w14:paraId="25DFDC27"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Wait 5 minutes</w:t>
      </w:r>
    </w:p>
    <w:p w14:paraId="25DFDC28"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The following results were observed:</w:t>
      </w:r>
    </w:p>
    <w:p w14:paraId="25DFDC29" w14:textId="77777777" w:rsidR="000566CC" w:rsidRDefault="0043674F">
      <w:pPr>
        <w:pStyle w:val="normal1"/>
        <w:spacing w:after="140" w:line="288" w:lineRule="auto"/>
        <w:rPr>
          <w:b/>
          <w:color w:val="FF0000"/>
        </w:rPr>
      </w:pPr>
      <w:sdt>
        <w:sdtPr>
          <w:tag w:val="goog_rdk_56"/>
          <w:id w:val="664823173"/>
        </w:sdtPr>
        <w:sdtEndPr/>
        <w:sdtContent/>
      </w:sdt>
      <w:r w:rsidR="002177CF">
        <w:rPr>
          <w:b/>
          <w:color w:val="FF0000"/>
        </w:rPr>
        <w:t xml:space="preserve">The test failed at this point afterwards data was transported to the MMS Proxy Ship, the websocket connection between the ChatSea Application a </w:t>
      </w:r>
      <w:r w:rsidR="002177CF">
        <w:rPr>
          <w:b/>
          <w:color w:val="FF0000"/>
        </w:rPr>
        <w:tab/>
        <w:t>nd the MMS Proxy ship closed unexpectedly, making ChatSea unable to immediately reconnect.</w:t>
      </w:r>
    </w:p>
    <w:p w14:paraId="25DFDC2A" w14:textId="77777777" w:rsidR="000566CC" w:rsidRDefault="002177CF">
      <w:pPr>
        <w:pStyle w:val="normal1"/>
        <w:spacing w:after="140" w:line="288" w:lineRule="auto"/>
        <w:rPr>
          <w:color w:val="FF0000"/>
        </w:rPr>
      </w:pPr>
      <w:r>
        <w:rPr>
          <w:noProof/>
        </w:rPr>
        <w:drawing>
          <wp:inline distT="0" distB="0" distL="0" distR="0" wp14:anchorId="25DFDCC5" wp14:editId="25DFDCC6">
            <wp:extent cx="6120130" cy="1435100"/>
            <wp:effectExtent l="0" t="0" r="0" b="0"/>
            <wp:docPr id="6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7.png"/>
                    <pic:cNvPicPr>
                      <a:picLocks noChangeAspect="1" noChangeArrowheads="1"/>
                    </pic:cNvPicPr>
                  </pic:nvPicPr>
                  <pic:blipFill>
                    <a:blip r:embed="rId63"/>
                    <a:stretch>
                      <a:fillRect/>
                    </a:stretch>
                  </pic:blipFill>
                  <pic:spPr bwMode="auto">
                    <a:xfrm>
                      <a:off x="0" y="0"/>
                      <a:ext cx="6120130" cy="1435100"/>
                    </a:xfrm>
                    <a:prstGeom prst="rect">
                      <a:avLst/>
                    </a:prstGeom>
                    <a:noFill/>
                  </pic:spPr>
                </pic:pic>
              </a:graphicData>
            </a:graphic>
          </wp:inline>
        </w:drawing>
      </w:r>
    </w:p>
    <w:p w14:paraId="25DFDC2B"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The 3 navigational warnings from the S-124 service were now received and displayed on the ChatSea application. It was checked that one more navigational warning was seen compared to step (k).</w:t>
      </w:r>
    </w:p>
    <w:p w14:paraId="25DFDC2C" w14:textId="77777777" w:rsidR="000566CC" w:rsidRDefault="000566CC">
      <w:pPr>
        <w:pStyle w:val="normal1"/>
        <w:spacing w:after="140" w:line="288" w:lineRule="auto"/>
        <w:ind w:left="720"/>
        <w:rPr>
          <w:color w:val="FF0000"/>
        </w:rPr>
      </w:pPr>
    </w:p>
    <w:p w14:paraId="25DFDC2D" w14:textId="77777777" w:rsidR="000566CC" w:rsidRDefault="000566CC">
      <w:pPr>
        <w:pStyle w:val="normal1"/>
        <w:spacing w:after="140" w:line="288" w:lineRule="auto"/>
        <w:rPr>
          <w:color w:val="FF0000"/>
        </w:rPr>
      </w:pPr>
    </w:p>
    <w:p w14:paraId="25DFDC2E" w14:textId="77777777" w:rsidR="000566CC" w:rsidRDefault="000566CC">
      <w:pPr>
        <w:pStyle w:val="normal1"/>
        <w:spacing w:after="140" w:line="288" w:lineRule="auto"/>
        <w:rPr>
          <w:color w:val="FF0000"/>
        </w:rPr>
      </w:pPr>
    </w:p>
    <w:p w14:paraId="25DFDC2F" w14:textId="77777777" w:rsidR="000566CC" w:rsidRDefault="000566CC">
      <w:pPr>
        <w:pStyle w:val="normal1"/>
        <w:spacing w:after="140" w:line="288" w:lineRule="auto"/>
        <w:rPr>
          <w:color w:val="FF0000"/>
        </w:rPr>
      </w:pPr>
    </w:p>
    <w:p w14:paraId="25DFDC30" w14:textId="77777777" w:rsidR="000566CC" w:rsidRDefault="002177CF">
      <w:pPr>
        <w:pStyle w:val="normal1"/>
        <w:numPr>
          <w:ilvl w:val="0"/>
          <w:numId w:val="7"/>
        </w:numPr>
        <w:spacing w:after="140" w:line="288" w:lineRule="auto"/>
        <w:ind w:left="720" w:hanging="360"/>
        <w:rPr>
          <w:rFonts w:ascii="Liberation Serif" w:eastAsia="Liberation Serif" w:hAnsi="Liberation Serif" w:cs="Liberation Serif"/>
          <w:color w:val="FF0000"/>
          <w:sz w:val="24"/>
          <w:szCs w:val="24"/>
        </w:rPr>
      </w:pPr>
      <w:r>
        <w:rPr>
          <w:rFonts w:ascii="Liberation Serif" w:eastAsia="Liberation Serif" w:hAnsi="Liberation Serif" w:cs="Liberation Serif"/>
          <w:color w:val="FF0000"/>
          <w:sz w:val="24"/>
          <w:szCs w:val="24"/>
        </w:rPr>
        <w:t>In the log of the ship side MMS Edge Router, it was checked that the data was transported through terrestrial VDES.</w:t>
      </w:r>
    </w:p>
    <w:p w14:paraId="25DFDC31" w14:textId="77777777" w:rsidR="000566CC" w:rsidRDefault="002177CF">
      <w:pPr>
        <w:pStyle w:val="normal1"/>
        <w:spacing w:after="140" w:line="288" w:lineRule="auto"/>
        <w:ind w:left="720"/>
        <w:rPr>
          <w:color w:val="FF0000"/>
        </w:rPr>
      </w:pPr>
      <w:r>
        <w:rPr>
          <w:color w:val="FF0000"/>
        </w:rPr>
        <w:t xml:space="preserve">This was unfortunately not documented as a crash occurred immediately afterwards when trying to send the data to </w:t>
      </w:r>
      <w:r>
        <w:rPr>
          <w:color w:val="FF0000"/>
        </w:rPr>
        <w:lastRenderedPageBreak/>
        <w:t xml:space="preserve">the ChatSea application using the websockets </w:t>
      </w:r>
    </w:p>
    <w:p w14:paraId="25DFDC32" w14:textId="77777777" w:rsidR="000566CC" w:rsidRDefault="002177CF">
      <w:pPr>
        <w:pStyle w:val="normal1"/>
        <w:spacing w:after="140" w:line="288" w:lineRule="auto"/>
        <w:ind w:left="720"/>
        <w:rPr>
          <w:color w:val="FF0000"/>
        </w:rPr>
      </w:pPr>
      <w:r>
        <w:rPr>
          <w:color w:val="FF0000"/>
        </w:rPr>
        <w:tab/>
      </w:r>
    </w:p>
    <w:p w14:paraId="25DFDC33" w14:textId="77777777" w:rsidR="000566CC" w:rsidRDefault="002177CF">
      <w:pPr>
        <w:pStyle w:val="normal1"/>
        <w:spacing w:after="140" w:line="288" w:lineRule="auto"/>
        <w:ind w:left="720"/>
        <w:rPr>
          <w:color w:val="38761D"/>
        </w:rPr>
      </w:pPr>
      <w:r>
        <w:rPr>
          <w:color w:val="38761D"/>
        </w:rPr>
        <w:t>The Shore base station delivered the messages using VDE-TER as can be seen by the SDR picture below</w:t>
      </w:r>
    </w:p>
    <w:p w14:paraId="25DFDC34" w14:textId="77777777" w:rsidR="000566CC" w:rsidRDefault="002177CF">
      <w:pPr>
        <w:pStyle w:val="normal1"/>
        <w:spacing w:after="140" w:line="288" w:lineRule="auto"/>
        <w:ind w:left="720"/>
        <w:rPr>
          <w:color w:val="FF0000"/>
        </w:rPr>
      </w:pPr>
      <w:r>
        <w:rPr>
          <w:noProof/>
        </w:rPr>
        <w:drawing>
          <wp:inline distT="0" distB="0" distL="0" distR="0" wp14:anchorId="25DFDCC7" wp14:editId="25DFDCC8">
            <wp:extent cx="4323080" cy="2319655"/>
            <wp:effectExtent l="0" t="0" r="0" b="0"/>
            <wp:docPr id="66"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6.png"/>
                    <pic:cNvPicPr>
                      <a:picLocks noChangeAspect="1" noChangeArrowheads="1"/>
                    </pic:cNvPicPr>
                  </pic:nvPicPr>
                  <pic:blipFill>
                    <a:blip r:embed="rId64"/>
                    <a:stretch>
                      <a:fillRect/>
                    </a:stretch>
                  </pic:blipFill>
                  <pic:spPr bwMode="auto">
                    <a:xfrm>
                      <a:off x="0" y="0"/>
                      <a:ext cx="4323080" cy="2319655"/>
                    </a:xfrm>
                    <a:prstGeom prst="rect">
                      <a:avLst/>
                    </a:prstGeom>
                    <a:noFill/>
                  </pic:spPr>
                </pic:pic>
              </a:graphicData>
            </a:graphic>
          </wp:inline>
        </w:drawing>
      </w:r>
      <w:r>
        <w:rPr>
          <w:color w:val="FF0000"/>
        </w:rPr>
        <w:tab/>
      </w:r>
      <w:r>
        <w:rPr>
          <w:color w:val="FF0000"/>
        </w:rPr>
        <w:tab/>
      </w:r>
    </w:p>
    <w:p w14:paraId="25DFDC35" w14:textId="77777777" w:rsidR="000566CC" w:rsidRDefault="002177CF">
      <w:pPr>
        <w:pStyle w:val="normal1"/>
        <w:spacing w:after="140" w:line="288" w:lineRule="auto"/>
        <w:ind w:left="720"/>
        <w:rPr>
          <w:color w:val="38761D"/>
        </w:rPr>
      </w:pPr>
      <w:r>
        <w:rPr>
          <w:color w:val="38761D"/>
        </w:rPr>
        <w:t>the An additional navigational warning was sent totaling 2 warnings, the delivery of the second warning was registered on the SDR picture below</w:t>
      </w:r>
    </w:p>
    <w:p w14:paraId="25DFDC36" w14:textId="77777777" w:rsidR="000566CC" w:rsidRDefault="002177CF">
      <w:pPr>
        <w:pStyle w:val="normal1"/>
        <w:spacing w:after="140" w:line="288" w:lineRule="auto"/>
        <w:ind w:left="720"/>
        <w:rPr>
          <w:color w:val="FF0000"/>
        </w:rPr>
      </w:pPr>
      <w:r>
        <w:rPr>
          <w:noProof/>
        </w:rPr>
        <w:drawing>
          <wp:inline distT="0" distB="0" distL="0" distR="0" wp14:anchorId="25DFDCC9" wp14:editId="25DFDCCA">
            <wp:extent cx="4578350" cy="2456815"/>
            <wp:effectExtent l="0" t="0" r="0" b="0"/>
            <wp:docPr id="6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8.png"/>
                    <pic:cNvPicPr>
                      <a:picLocks noChangeAspect="1" noChangeArrowheads="1"/>
                    </pic:cNvPicPr>
                  </pic:nvPicPr>
                  <pic:blipFill>
                    <a:blip r:embed="rId65"/>
                    <a:stretch>
                      <a:fillRect/>
                    </a:stretch>
                  </pic:blipFill>
                  <pic:spPr bwMode="auto">
                    <a:xfrm>
                      <a:off x="0" y="0"/>
                      <a:ext cx="4578350" cy="2456815"/>
                    </a:xfrm>
                    <a:prstGeom prst="rect">
                      <a:avLst/>
                    </a:prstGeom>
                    <a:noFill/>
                  </pic:spPr>
                </pic:pic>
              </a:graphicData>
            </a:graphic>
          </wp:inline>
        </w:drawing>
      </w:r>
      <w:r>
        <w:rPr>
          <w:color w:val="FF0000"/>
        </w:rPr>
        <w:tab/>
      </w:r>
    </w:p>
    <w:p w14:paraId="25DFDC37" w14:textId="77777777" w:rsidR="000566CC" w:rsidRDefault="002177CF">
      <w:pPr>
        <w:pStyle w:val="normal1"/>
        <w:spacing w:after="140" w:line="288" w:lineRule="auto"/>
        <w:rPr>
          <w:rFonts w:ascii="Liberation Serif" w:eastAsia="Liberation Serif" w:hAnsi="Liberation Serif" w:cs="Liberation Serif"/>
          <w:color w:val="274E13"/>
          <w:sz w:val="24"/>
          <w:szCs w:val="24"/>
        </w:rPr>
      </w:pPr>
      <w:r>
        <w:rPr>
          <w:rFonts w:ascii="Liberation Serif" w:eastAsia="Liberation Serif" w:hAnsi="Liberation Serif" w:cs="Liberation Serif"/>
          <w:color w:val="000000"/>
          <w:sz w:val="24"/>
          <w:szCs w:val="24"/>
        </w:rPr>
        <w:t>Based on the above observations, the test was deemed to</w:t>
      </w:r>
      <w:r>
        <w:t xml:space="preserve"> be</w:t>
      </w:r>
      <w:r>
        <w:rPr>
          <w:rFonts w:ascii="Liberation Serif" w:eastAsia="Liberation Serif" w:hAnsi="Liberation Serif" w:cs="Liberation Serif"/>
          <w:color w:val="274E13"/>
          <w:sz w:val="24"/>
          <w:szCs w:val="24"/>
        </w:rPr>
        <w:t xml:space="preserve"> </w:t>
      </w:r>
      <w:r>
        <w:rPr>
          <w:b/>
          <w:color w:val="274E13"/>
        </w:rPr>
        <w:t>[</w:t>
      </w:r>
      <w:r>
        <w:rPr>
          <w:rFonts w:ascii="Liberation Serif" w:eastAsia="Liberation Serif" w:hAnsi="Liberation Serif" w:cs="Liberation Serif"/>
          <w:b/>
          <w:color w:val="274E13"/>
          <w:sz w:val="24"/>
          <w:szCs w:val="24"/>
        </w:rPr>
        <w:t xml:space="preserve"> PASSED]</w:t>
      </w:r>
    </w:p>
    <w:p w14:paraId="25DFDC38" w14:textId="77777777" w:rsidR="000566CC" w:rsidRDefault="002177CF">
      <w:pPr>
        <w:pStyle w:val="Heading1"/>
        <w:ind w:left="432" w:hanging="432"/>
      </w:pPr>
      <w:r>
        <w:t>Outlook VOOST Phase 2</w:t>
      </w:r>
    </w:p>
    <w:p w14:paraId="25DFDC39"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In the next phase, which is to start in 2025, subsystems from the other VOOST partners will be integrated with Sternula’s and AIVeNautic’s systems to create the larger scale interoperability networks with real ships and real shore base stations and VDE Satellites in the loop.</w:t>
      </w:r>
    </w:p>
    <w:p w14:paraId="25DFDC3A"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Other types of transport will be tested:</w:t>
      </w:r>
    </w:p>
    <w:p w14:paraId="25DFDC3B" w14:textId="77777777" w:rsidR="000566CC" w:rsidRDefault="002177CF">
      <w:pPr>
        <w:pStyle w:val="normal1"/>
        <w:numPr>
          <w:ilvl w:val="0"/>
          <w:numId w:val="4"/>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Direct messages for e.g. VTS communications between ship and shore and vice versa</w:t>
      </w:r>
    </w:p>
    <w:p w14:paraId="25DFDC3C" w14:textId="77777777" w:rsidR="000566CC" w:rsidRDefault="002177CF">
      <w:pPr>
        <w:pStyle w:val="normal1"/>
        <w:numPr>
          <w:ilvl w:val="0"/>
          <w:numId w:val="4"/>
        </w:numPr>
        <w:spacing w:after="140" w:line="288" w:lineRule="auto"/>
        <w:ind w:left="720" w:hanging="360"/>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Direct messages between ships using terrestrial VDES (VDE-TER)</w:t>
      </w:r>
    </w:p>
    <w:p w14:paraId="25DFDC3D" w14:textId="77777777" w:rsidR="000566CC" w:rsidRDefault="002177CF">
      <w:pPr>
        <w:pStyle w:val="normal1"/>
        <w:spacing w:after="140" w:line="288" w:lineRule="auto"/>
      </w:pPr>
      <w:r>
        <w:rPr>
          <w:rFonts w:ascii="Liberation Serif" w:eastAsia="Liberation Serif" w:hAnsi="Liberation Serif" w:cs="Liberation Serif"/>
          <w:color w:val="000000"/>
          <w:sz w:val="24"/>
          <w:szCs w:val="24"/>
        </w:rPr>
        <w:lastRenderedPageBreak/>
        <w:t xml:space="preserve">Ship systems will be installed on ships and shore transponder systems on shore, to create realistic terrestrial VDES (VDE-TER) </w:t>
      </w:r>
      <w:r>
        <w:t>scenarios to demonstrate the real-time transport of S-100 data over VDES.</w:t>
      </w:r>
    </w:p>
    <w:p w14:paraId="25DFDC3E"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Additionally, satellite VDES (VDE-SAT) will be made available to the project through cooperations with satellite operators that are interfacing to the MMS system.</w:t>
      </w:r>
    </w:p>
    <w:p w14:paraId="25DFDC3F"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rPr>
          <w:rFonts w:ascii="Liberation Serif" w:eastAsia="Liberation Serif" w:hAnsi="Liberation Serif" w:cs="Liberation Serif"/>
          <w:color w:val="000000"/>
          <w:sz w:val="24"/>
          <w:szCs w:val="24"/>
        </w:rPr>
        <w:t>Additionally, more S-100 based services will be added to the portfolio, and the discovery of services will be made accessible through registrations in the Maritime Service Registries which are then queried through MMS by the ship equipment to get lists of available services in the relevant area of the ships operations.</w:t>
      </w:r>
    </w:p>
    <w:p w14:paraId="25DFDC40"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t>Furthermore</w:t>
      </w:r>
      <w:r>
        <w:rPr>
          <w:rFonts w:ascii="Liberation Serif" w:eastAsia="Liberation Serif" w:hAnsi="Liberation Serif" w:cs="Liberation Serif"/>
          <w:color w:val="000000"/>
          <w:sz w:val="24"/>
          <w:szCs w:val="24"/>
        </w:rPr>
        <w:t>, it will be tested by use of a MMS based certificate query and revocation service to exchange certificates and revocations via MMS to all ship equipment for continued trust and cybersecure operations of the S-100 transport over VDES and IP-based internet connections to ships.</w:t>
      </w:r>
    </w:p>
    <w:p w14:paraId="25DFDC41" w14:textId="77777777" w:rsidR="000566CC" w:rsidRDefault="002177CF">
      <w:pPr>
        <w:pStyle w:val="normal1"/>
        <w:spacing w:after="140" w:line="288" w:lineRule="auto"/>
        <w:rPr>
          <w:rFonts w:ascii="Liberation Serif" w:eastAsia="Liberation Serif" w:hAnsi="Liberation Serif" w:cs="Liberation Serif"/>
          <w:color w:val="000000"/>
          <w:sz w:val="24"/>
          <w:szCs w:val="24"/>
        </w:rPr>
      </w:pPr>
      <w:r>
        <w:t>Furthermore</w:t>
      </w:r>
      <w:r>
        <w:rPr>
          <w:rFonts w:ascii="Liberation Serif" w:eastAsia="Liberation Serif" w:hAnsi="Liberation Serif" w:cs="Liberation Serif"/>
          <w:color w:val="000000"/>
          <w:sz w:val="24"/>
          <w:szCs w:val="24"/>
        </w:rPr>
        <w:t xml:space="preserve">, it may be considered to </w:t>
      </w:r>
      <w:r>
        <w:t>also test</w:t>
      </w:r>
      <w:r>
        <w:rPr>
          <w:rFonts w:ascii="Liberation Serif" w:eastAsia="Liberation Serif" w:hAnsi="Liberation Serif" w:cs="Liberation Serif"/>
          <w:color w:val="000000"/>
          <w:sz w:val="24"/>
          <w:szCs w:val="24"/>
        </w:rPr>
        <w:t xml:space="preserve"> ships with satcom based internet connectivity.</w:t>
      </w:r>
    </w:p>
    <w:p w14:paraId="25DFDC42" w14:textId="77777777" w:rsidR="000566CC" w:rsidRDefault="000566CC">
      <w:pPr>
        <w:pStyle w:val="normal1"/>
        <w:spacing w:after="140" w:line="288" w:lineRule="auto"/>
        <w:rPr>
          <w:rFonts w:ascii="Liberation Serif" w:eastAsia="Liberation Serif" w:hAnsi="Liberation Serif" w:cs="Liberation Serif"/>
          <w:color w:val="000000"/>
          <w:sz w:val="24"/>
          <w:szCs w:val="24"/>
        </w:rPr>
      </w:pPr>
    </w:p>
    <w:p w14:paraId="25DFDC43" w14:textId="77777777" w:rsidR="000566CC" w:rsidRDefault="000566CC">
      <w:pPr>
        <w:pStyle w:val="normal1"/>
        <w:spacing w:after="140" w:line="288" w:lineRule="auto"/>
        <w:rPr>
          <w:rFonts w:ascii="Liberation Serif" w:eastAsia="Liberation Serif" w:hAnsi="Liberation Serif" w:cs="Liberation Serif"/>
          <w:color w:val="000000"/>
          <w:sz w:val="24"/>
          <w:szCs w:val="24"/>
        </w:rPr>
      </w:pPr>
    </w:p>
    <w:p w14:paraId="25DFDC44" w14:textId="77777777" w:rsidR="000566CC" w:rsidRDefault="000566CC">
      <w:pPr>
        <w:pStyle w:val="normal1"/>
        <w:spacing w:after="140" w:line="288" w:lineRule="auto"/>
        <w:rPr>
          <w:rFonts w:ascii="Liberation Serif" w:eastAsia="Liberation Serif" w:hAnsi="Liberation Serif" w:cs="Liberation Serif"/>
          <w:color w:val="000000"/>
          <w:sz w:val="24"/>
          <w:szCs w:val="24"/>
        </w:rPr>
      </w:pPr>
    </w:p>
    <w:sectPr w:rsidR="000566CC">
      <w:headerReference w:type="even" r:id="rId66"/>
      <w:headerReference w:type="default" r:id="rId67"/>
      <w:footerReference w:type="even" r:id="rId68"/>
      <w:footerReference w:type="default" r:id="rId69"/>
      <w:headerReference w:type="first" r:id="rId70"/>
      <w:footerReference w:type="first" r:id="rId71"/>
      <w:pgSz w:w="11906" w:h="16838"/>
      <w:pgMar w:top="1733" w:right="794" w:bottom="668" w:left="907" w:header="564" w:footer="611" w:gutter="0"/>
      <w:pgNumType w:start="1"/>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FDCE6" w14:textId="77777777" w:rsidR="002177CF" w:rsidRDefault="002177CF">
      <w:pPr>
        <w:spacing w:line="240" w:lineRule="auto"/>
      </w:pPr>
      <w:r>
        <w:separator/>
      </w:r>
    </w:p>
  </w:endnote>
  <w:endnote w:type="continuationSeparator" w:id="0">
    <w:p w14:paraId="25DFDCE8" w14:textId="77777777" w:rsidR="002177CF" w:rsidRDefault="002177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1"/>
    <w:family w:val="auto"/>
    <w:pitch w:val="variable"/>
  </w:font>
  <w:font w:name="Arial">
    <w:panose1 w:val="020B0604020202020204"/>
    <w:charset w:val="00"/>
    <w:family w:val="swiss"/>
    <w:pitch w:val="variable"/>
    <w:sig w:usb0="E0002EFF" w:usb1="C000785B" w:usb2="00000009" w:usb3="00000000" w:csb0="000001FF" w:csb1="00000000"/>
  </w:font>
  <w:font w:name="Calibri (Body)">
    <w:altName w:val="Calibri"/>
    <w:charset w:val="01"/>
    <w:family w:val="roman"/>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1"/>
    <w:family w:val="auto"/>
    <w:pitch w:val="variable"/>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CF" w14:textId="77777777" w:rsidR="000566CC" w:rsidRDefault="000566C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0" w14:textId="77777777" w:rsidR="000566CC" w:rsidRDefault="000566CC">
    <w:pPr>
      <w:pStyle w:val="Footerportrait"/>
    </w:pPr>
  </w:p>
  <w:p w14:paraId="25DFDCD1" w14:textId="3CBFAEF7" w:rsidR="000566CC" w:rsidRDefault="002177CF">
    <w:pPr>
      <w:pStyle w:val="Footerportrait"/>
    </w:pPr>
    <w:r>
      <w:fldChar w:fldCharType="begin"/>
    </w:r>
    <w:r>
      <w:instrText xml:space="preserve"> STYLEREF "Title" </w:instrText>
    </w:r>
    <w:r>
      <w:fldChar w:fldCharType="separate"/>
    </w:r>
    <w:r w:rsidR="0043674F">
      <w:rPr>
        <w:noProof/>
      </w:rPr>
      <w:t>Report on mcp related work conducted in international projects</w:t>
    </w:r>
    <w:r>
      <w:fldChar w:fldCharType="end"/>
    </w:r>
    <w:r>
      <w:tab/>
      <w:t xml:space="preserve">P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p w14:paraId="25DFDCD2" w14:textId="77777777" w:rsidR="000566CC" w:rsidRDefault="000566C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6" w14:textId="77777777" w:rsidR="000566CC" w:rsidRDefault="002177CF">
    <w:pPr>
      <w:pStyle w:val="Footerportrait"/>
    </w:pPr>
    <w:r>
      <w:tab/>
    </w:r>
  </w:p>
  <w:p w14:paraId="25DFDCD7" w14:textId="6408AC4A" w:rsidR="000566CC" w:rsidRDefault="002177CF">
    <w:pPr>
      <w:pStyle w:val="Footerportrait"/>
    </w:pPr>
    <w:r>
      <w:fldChar w:fldCharType="begin"/>
    </w:r>
    <w:r>
      <w:instrText xml:space="preserve"> STYLEREF "Title" </w:instrText>
    </w:r>
    <w:r>
      <w:fldChar w:fldCharType="separate"/>
    </w:r>
    <w:r w:rsidR="0043674F">
      <w:rPr>
        <w:noProof/>
      </w:rPr>
      <w:t>Report on mcp related work conducted in international projects</w:t>
    </w:r>
    <w:r>
      <w:fldChar w:fldCharType="end"/>
    </w:r>
    <w:r>
      <w:tab/>
      <w:t xml:space="preserve">P </w:t>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25DFDCD8" w14:textId="77777777" w:rsidR="000566CC" w:rsidRDefault="000566CC">
    <w:pPr>
      <w:pStyle w:val="Footer"/>
    </w:pPr>
  </w:p>
  <w:p w14:paraId="25DFDCD9" w14:textId="77777777" w:rsidR="000566CC" w:rsidRDefault="000566CC">
    <w:pPr>
      <w:pStyle w:val="Footer"/>
      <w:tabs>
        <w:tab w:val="left" w:pos="1188"/>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C" w14:textId="77777777" w:rsidR="000566CC" w:rsidRDefault="000566C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D" w14:textId="77777777" w:rsidR="000566CC" w:rsidRDefault="000566CC">
    <w:pPr>
      <w:pStyle w:val="Footerportrait"/>
    </w:pPr>
  </w:p>
  <w:p w14:paraId="25DFDCDE" w14:textId="0A124DF1" w:rsidR="000566CC" w:rsidRDefault="002177CF">
    <w:pPr>
      <w:pStyle w:val="Footerportrait"/>
    </w:pPr>
    <w:r>
      <w:fldChar w:fldCharType="begin"/>
    </w:r>
    <w:r>
      <w:instrText xml:space="preserve"> STYLEREF "Title" </w:instrText>
    </w:r>
    <w:r>
      <w:fldChar w:fldCharType="separate"/>
    </w:r>
    <w:r w:rsidR="0043674F">
      <w:rPr>
        <w:noProof/>
      </w:rPr>
      <w:t>Report on mcp related work conducted in international projects</w:t>
    </w:r>
    <w:r>
      <w:fldChar w:fldCharType="end"/>
    </w:r>
    <w:r>
      <w:tab/>
      <w:t xml:space="preserve">P </w:t>
    </w:r>
    <w:r>
      <w:rPr>
        <w:rStyle w:val="PageNumber"/>
      </w:rPr>
      <w:fldChar w:fldCharType="begin"/>
    </w:r>
    <w:r>
      <w:rPr>
        <w:rStyle w:val="PageNumber"/>
      </w:rPr>
      <w:instrText xml:space="preserve"> PAGE </w:instrText>
    </w:r>
    <w:r>
      <w:rPr>
        <w:rStyle w:val="PageNumber"/>
      </w:rPr>
      <w:fldChar w:fldCharType="separate"/>
    </w:r>
    <w:r>
      <w:rPr>
        <w:rStyle w:val="PageNumber"/>
      </w:rPr>
      <w:t>30</w:t>
    </w:r>
    <w:r>
      <w:rPr>
        <w:rStyle w:val="PageNumber"/>
      </w:rPr>
      <w:fldChar w:fldCharType="end"/>
    </w:r>
  </w:p>
  <w:p w14:paraId="25DFDCDF" w14:textId="77777777" w:rsidR="000566CC" w:rsidRDefault="000566C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E1" w14:textId="77777777" w:rsidR="000566CC" w:rsidRDefault="000566CC">
    <w:pPr>
      <w:pStyle w:val="Footerportrait"/>
    </w:pPr>
  </w:p>
  <w:p w14:paraId="25DFDCE2" w14:textId="77777777" w:rsidR="000566CC" w:rsidRDefault="002177CF">
    <w:pPr>
      <w:pStyle w:val="Footerportrait"/>
    </w:pPr>
    <w:r>
      <w:fldChar w:fldCharType="begin"/>
    </w:r>
    <w:r>
      <w:instrText xml:space="preserve"> STYLEREF "Title" </w:instrText>
    </w:r>
    <w:r>
      <w:fldChar w:fldCharType="separate"/>
    </w:r>
    <w:r>
      <w:t>Report on mcp related work conducted in international projects</w:t>
    </w:r>
    <w:r>
      <w:fldChar w:fldCharType="end"/>
    </w:r>
    <w:r>
      <w:tab/>
      <w:t xml:space="preserve">P </w:t>
    </w:r>
    <w:r>
      <w:rPr>
        <w:rStyle w:val="PageNumber"/>
      </w:rPr>
      <w:fldChar w:fldCharType="begin"/>
    </w:r>
    <w:r>
      <w:rPr>
        <w:rStyle w:val="PageNumber"/>
      </w:rPr>
      <w:instrText xml:space="preserve"> PAGE </w:instrText>
    </w:r>
    <w:r>
      <w:rPr>
        <w:rStyle w:val="PageNumber"/>
      </w:rPr>
      <w:fldChar w:fldCharType="separate"/>
    </w:r>
    <w:r>
      <w:rPr>
        <w:rStyle w:val="PageNumber"/>
      </w:rPr>
      <w:t>30</w:t>
    </w:r>
    <w:r>
      <w:rPr>
        <w:rStyle w:val="PageNumber"/>
      </w:rPr>
      <w:fldChar w:fldCharType="end"/>
    </w:r>
  </w:p>
  <w:p w14:paraId="25DFDCE3" w14:textId="77777777" w:rsidR="000566CC" w:rsidRDefault="000566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FDCCB" w14:textId="77777777" w:rsidR="000566CC" w:rsidRDefault="002177CF">
      <w:r>
        <w:separator/>
      </w:r>
    </w:p>
  </w:footnote>
  <w:footnote w:type="continuationSeparator" w:id="0">
    <w:p w14:paraId="25DFDCCC" w14:textId="77777777" w:rsidR="000566CC" w:rsidRDefault="002177CF">
      <w:r>
        <w:continuationSeparator/>
      </w:r>
    </w:p>
  </w:footnote>
  <w:footnote w:id="1">
    <w:p w14:paraId="25DFDCED" w14:textId="77777777" w:rsidR="000566CC" w:rsidRDefault="002177CF">
      <w:pPr>
        <w:pStyle w:val="FootnoteText"/>
      </w:pPr>
      <w:r>
        <w:rPr>
          <w:rStyle w:val="FootnoteCharacters"/>
        </w:rPr>
        <w:footnoteRef/>
      </w:r>
      <w:r>
        <w:tab/>
        <w:t xml:space="preserve"> 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CD" w14:textId="77777777" w:rsidR="000566CC" w:rsidRDefault="000566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CE" w14:textId="77777777" w:rsidR="000566CC" w:rsidRDefault="002177CF">
    <w:pPr>
      <w:pStyle w:val="Header"/>
      <w:jc w:val="right"/>
    </w:pPr>
    <w:r>
      <w:rPr>
        <w:noProof/>
      </w:rPr>
      <w:drawing>
        <wp:anchor distT="0" distB="0" distL="114300" distR="114300" simplePos="0" relativeHeight="251659264" behindDoc="1" locked="0" layoutInCell="0" allowOverlap="1" wp14:anchorId="25DFDCE4" wp14:editId="25DFDCE5">
          <wp:simplePos x="0" y="0"/>
          <wp:positionH relativeFrom="column">
            <wp:posOffset>6055995</wp:posOffset>
          </wp:positionH>
          <wp:positionV relativeFrom="paragraph">
            <wp:posOffset>-185420</wp:posOffset>
          </wp:positionV>
          <wp:extent cx="574675" cy="560070"/>
          <wp:effectExtent l="0" t="0" r="0" b="0"/>
          <wp:wrapSquare wrapText="bothSides"/>
          <wp:docPr id="900289940"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78"/>
                  <pic:cNvPicPr>
                    <a:picLocks noChangeAspect="1" noChangeArrowheads="1"/>
                  </pic:cNvPicPr>
                </pic:nvPicPr>
                <pic:blipFill>
                  <a:blip r:embed="rId1"/>
                  <a:stretch>
                    <a:fillRect/>
                  </a:stretch>
                </pic:blipFill>
                <pic:spPr bwMode="auto">
                  <a:xfrm>
                    <a:off x="0" y="0"/>
                    <a:ext cx="574675" cy="56007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3" w14:textId="77777777" w:rsidR="000566CC" w:rsidRDefault="002177CF">
    <w:pPr>
      <w:pStyle w:val="Header"/>
      <w:jc w:val="center"/>
    </w:pPr>
    <w:r>
      <w:rPr>
        <w:noProof/>
      </w:rPr>
      <w:drawing>
        <wp:anchor distT="0" distB="0" distL="114300" distR="114300" simplePos="0" relativeHeight="251656192" behindDoc="1" locked="0" layoutInCell="0" allowOverlap="1" wp14:anchorId="25DFDCE6" wp14:editId="25DFDCE7">
          <wp:simplePos x="0" y="0"/>
          <wp:positionH relativeFrom="column">
            <wp:posOffset>2522855</wp:posOffset>
          </wp:positionH>
          <wp:positionV relativeFrom="paragraph">
            <wp:posOffset>-100330</wp:posOffset>
          </wp:positionV>
          <wp:extent cx="852805" cy="831215"/>
          <wp:effectExtent l="0" t="0" r="0" b="0"/>
          <wp:wrapSquare wrapText="bothSides"/>
          <wp:docPr id="1024551986"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79"/>
                  <pic:cNvPicPr>
                    <a:picLocks noChangeAspect="1" noChangeArrowheads="1"/>
                  </pic:cNvPicPr>
                </pic:nvPicPr>
                <pic:blipFill>
                  <a:blip r:embed="rId1"/>
                  <a:stretch>
                    <a:fillRect/>
                  </a:stretch>
                </pic:blipFill>
                <pic:spPr bwMode="auto">
                  <a:xfrm>
                    <a:off x="0" y="0"/>
                    <a:ext cx="852805" cy="831215"/>
                  </a:xfrm>
                  <a:prstGeom prst="rect">
                    <a:avLst/>
                  </a:prstGeom>
                  <a:noFill/>
                </pic:spPr>
              </pic:pic>
            </a:graphicData>
          </a:graphic>
        </wp:anchor>
      </w:drawing>
    </w:r>
  </w:p>
  <w:p w14:paraId="25DFDCD4" w14:textId="77777777" w:rsidR="000566CC" w:rsidRDefault="000566CC">
    <w:pPr>
      <w:pStyle w:val="Header"/>
      <w:jc w:val="center"/>
    </w:pPr>
  </w:p>
  <w:p w14:paraId="25DFDCD5" w14:textId="77777777" w:rsidR="000566CC" w:rsidRDefault="000566CC">
    <w:pPr>
      <w:pStyle w:val="Header"/>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A" w14:textId="77777777" w:rsidR="000566CC" w:rsidRDefault="000566C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DB" w14:textId="77777777" w:rsidR="000566CC" w:rsidRDefault="002177CF">
    <w:pPr>
      <w:pStyle w:val="Header"/>
      <w:jc w:val="right"/>
    </w:pPr>
    <w:r>
      <w:rPr>
        <w:noProof/>
      </w:rPr>
      <w:drawing>
        <wp:anchor distT="0" distB="0" distL="114300" distR="114300" simplePos="0" relativeHeight="251657216" behindDoc="1" locked="0" layoutInCell="0" allowOverlap="1" wp14:anchorId="25DFDCE8" wp14:editId="25DFDCE9">
          <wp:simplePos x="0" y="0"/>
          <wp:positionH relativeFrom="column">
            <wp:posOffset>6055995</wp:posOffset>
          </wp:positionH>
          <wp:positionV relativeFrom="paragraph">
            <wp:posOffset>-185420</wp:posOffset>
          </wp:positionV>
          <wp:extent cx="574675" cy="560070"/>
          <wp:effectExtent l="0" t="0" r="0" b="0"/>
          <wp:wrapSquare wrapText="bothSides"/>
          <wp:docPr id="6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7"/>
                  <pic:cNvPicPr>
                    <a:picLocks noChangeAspect="1" noChangeArrowheads="1"/>
                  </pic:cNvPicPr>
                </pic:nvPicPr>
                <pic:blipFill>
                  <a:blip r:embed="rId1"/>
                  <a:stretch>
                    <a:fillRect/>
                  </a:stretch>
                </pic:blipFill>
                <pic:spPr bwMode="auto">
                  <a:xfrm>
                    <a:off x="0" y="0"/>
                    <a:ext cx="574675" cy="560070"/>
                  </a:xfrm>
                  <a:prstGeom prst="rect">
                    <a:avLst/>
                  </a:prstGeom>
                  <a:noFill/>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DCE0" w14:textId="77777777" w:rsidR="000566CC" w:rsidRDefault="002177CF">
    <w:pPr>
      <w:pStyle w:val="Header"/>
      <w:jc w:val="right"/>
    </w:pPr>
    <w:r>
      <w:rPr>
        <w:noProof/>
      </w:rPr>
      <w:drawing>
        <wp:anchor distT="0" distB="0" distL="114300" distR="114300" simplePos="0" relativeHeight="251658240" behindDoc="1" locked="0" layoutInCell="0" allowOverlap="1" wp14:anchorId="25DFDCEA" wp14:editId="25DFDCEB">
          <wp:simplePos x="0" y="0"/>
          <wp:positionH relativeFrom="column">
            <wp:posOffset>6055995</wp:posOffset>
          </wp:positionH>
          <wp:positionV relativeFrom="paragraph">
            <wp:posOffset>-185420</wp:posOffset>
          </wp:positionV>
          <wp:extent cx="574675" cy="560070"/>
          <wp:effectExtent l="0" t="0" r="0" b="0"/>
          <wp:wrapSquare wrapText="bothSides"/>
          <wp:docPr id="6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7"/>
                  <pic:cNvPicPr>
                    <a:picLocks noChangeAspect="1" noChangeArrowheads="1"/>
                  </pic:cNvPicPr>
                </pic:nvPicPr>
                <pic:blipFill>
                  <a:blip r:embed="rId1"/>
                  <a:stretch>
                    <a:fillRect/>
                  </a:stretch>
                </pic:blipFill>
                <pic:spPr bwMode="auto">
                  <a:xfrm>
                    <a:off x="0" y="0"/>
                    <a:ext cx="574675" cy="56007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85654"/>
    <w:multiLevelType w:val="multilevel"/>
    <w:tmpl w:val="3DBEEB4E"/>
    <w:lvl w:ilvl="0">
      <w:start w:val="1"/>
      <w:numFmt w:val="decimal"/>
      <w:pStyle w:val="Table"/>
      <w:lvlText w:val="Table %1"/>
      <w:lvlJc w:val="left"/>
      <w:pPr>
        <w:tabs>
          <w:tab w:val="num" w:pos="1134"/>
        </w:tabs>
        <w:ind w:left="1134" w:hanging="113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8AF6041"/>
    <w:multiLevelType w:val="multilevel"/>
    <w:tmpl w:val="E2D6C234"/>
    <w:lvl w:ilvl="0">
      <w:start w:val="1"/>
      <w:numFmt w:val="decimal"/>
      <w:pStyle w:val="AnnexTablecaption"/>
      <w:lvlText w:val="Table %1"/>
      <w:lvlJc w:val="left"/>
      <w:pPr>
        <w:tabs>
          <w:tab w:val="num" w:pos="0"/>
        </w:tabs>
        <w:ind w:left="992" w:hanging="992"/>
      </w:pPr>
      <w:rPr>
        <w:rFonts w:ascii="Calibri" w:hAnsi="Calibri"/>
        <w:b w:val="0"/>
        <w:i/>
        <w:sz w:val="22"/>
        <w:u w:val="none"/>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15:restartNumberingAfterBreak="0">
    <w:nsid w:val="13240FA4"/>
    <w:multiLevelType w:val="multilevel"/>
    <w:tmpl w:val="923ED0B4"/>
    <w:lvl w:ilvl="0">
      <w:start w:val="1"/>
      <w:numFmt w:val="decimal"/>
      <w:pStyle w:val="AnnexHeading1"/>
      <w:lvlText w:val="%1"/>
      <w:lvlJc w:val="left"/>
      <w:pPr>
        <w:tabs>
          <w:tab w:val="num" w:pos="567"/>
        </w:tabs>
        <w:ind w:left="567" w:hanging="567"/>
      </w:pPr>
      <w:rPr>
        <w:rFonts w:ascii="Arial Bold" w:hAnsi="Arial Bold"/>
        <w:b/>
        <w:i w:val="0"/>
        <w:sz w:val="24"/>
      </w:rPr>
    </w:lvl>
    <w:lvl w:ilvl="1">
      <w:start w:val="1"/>
      <w:numFmt w:val="decimal"/>
      <w:pStyle w:val="AnnexHeading2"/>
      <w:lvlText w:val="%1.%2"/>
      <w:lvlJc w:val="left"/>
      <w:pPr>
        <w:tabs>
          <w:tab w:val="num" w:pos="851"/>
        </w:tabs>
        <w:ind w:left="851" w:hanging="851"/>
      </w:pPr>
      <w:rPr>
        <w:rFonts w:ascii="Arial Bold" w:hAnsi="Arial Bold"/>
        <w:b/>
        <w:i w:val="0"/>
        <w:sz w:val="22"/>
      </w:rPr>
    </w:lvl>
    <w:lvl w:ilvl="2">
      <w:start w:val="1"/>
      <w:numFmt w:val="decimal"/>
      <w:pStyle w:val="AnnexHeading3"/>
      <w:lvlText w:val="%2.%3.%1"/>
      <w:lvlJc w:val="left"/>
      <w:pPr>
        <w:tabs>
          <w:tab w:val="num" w:pos="992"/>
        </w:tabs>
        <w:ind w:left="992" w:hanging="992"/>
      </w:pPr>
      <w:rPr>
        <w:rFonts w:ascii="Arial" w:hAnsi="Arial"/>
        <w:b w:val="0"/>
        <w:i w:val="0"/>
        <w:sz w:val="22"/>
      </w:rPr>
    </w:lvl>
    <w:lvl w:ilvl="3">
      <w:start w:val="1"/>
      <w:numFmt w:val="decimal"/>
      <w:pStyle w:val="AnnexHeading4"/>
      <w:lvlText w:val="%1.%2.%3.%4"/>
      <w:lvlJc w:val="left"/>
      <w:pPr>
        <w:tabs>
          <w:tab w:val="num" w:pos="1134"/>
        </w:tabs>
        <w:ind w:left="1134" w:hanging="1134"/>
      </w:pPr>
      <w:rPr>
        <w:rFonts w:ascii="Arial" w:hAnsi="Arial"/>
        <w:b w:val="0"/>
        <w:i w:val="0"/>
        <w:sz w:val="22"/>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 w15:restartNumberingAfterBreak="0">
    <w:nsid w:val="17D92430"/>
    <w:multiLevelType w:val="multilevel"/>
    <w:tmpl w:val="156C42D8"/>
    <w:lvl w:ilvl="0">
      <w:start w:val="1"/>
      <w:numFmt w:val="decimal"/>
      <w:pStyle w:val="Heading1"/>
      <w:lvlText w:val="%1."/>
      <w:lvlJc w:val="left"/>
      <w:pPr>
        <w:tabs>
          <w:tab w:val="num" w:pos="0"/>
        </w:tabs>
        <w:ind w:left="709" w:hanging="709"/>
      </w:pPr>
      <w:rPr>
        <w:rFonts w:ascii="Calibri" w:hAnsi="Calibri"/>
        <w:b/>
        <w:i w:val="0"/>
        <w:color w:val="00558C"/>
        <w:sz w:val="28"/>
      </w:rPr>
    </w:lvl>
    <w:lvl w:ilvl="1">
      <w:start w:val="1"/>
      <w:numFmt w:val="decimal"/>
      <w:pStyle w:val="Heading2"/>
      <w:lvlText w:val="%1.%2."/>
      <w:lvlJc w:val="left"/>
      <w:pPr>
        <w:tabs>
          <w:tab w:val="num" w:pos="0"/>
        </w:tabs>
        <w:ind w:left="851" w:hanging="851"/>
      </w:pPr>
      <w:rPr>
        <w:rFonts w:ascii="Calibri" w:hAnsi="Calibri"/>
        <w:b/>
        <w:i w:val="0"/>
        <w:color w:val="00558C"/>
        <w:sz w:val="24"/>
      </w:rPr>
    </w:lvl>
    <w:lvl w:ilvl="2">
      <w:start w:val="1"/>
      <w:numFmt w:val="decimal"/>
      <w:pStyle w:val="Heading3"/>
      <w:lvlText w:val="%1.%2.%3."/>
      <w:lvlJc w:val="left"/>
      <w:pPr>
        <w:tabs>
          <w:tab w:val="num" w:pos="0"/>
        </w:tabs>
        <w:ind w:left="992" w:hanging="992"/>
      </w:pPr>
      <w:rPr>
        <w:rFonts w:ascii="Calibri" w:hAnsi="Calibri"/>
        <w:b/>
        <w:i w:val="0"/>
        <w:color w:val="00558C"/>
        <w:sz w:val="22"/>
      </w:rPr>
    </w:lvl>
    <w:lvl w:ilvl="3">
      <w:start w:val="1"/>
      <w:numFmt w:val="decimal"/>
      <w:pStyle w:val="Heading4"/>
      <w:lvlText w:val="%1.%2.%3.%4."/>
      <w:lvlJc w:val="left"/>
      <w:pPr>
        <w:tabs>
          <w:tab w:val="num" w:pos="0"/>
        </w:tabs>
        <w:ind w:left="1134" w:hanging="1134"/>
      </w:pPr>
      <w:rPr>
        <w:rFonts w:ascii="Calibri" w:hAnsi="Calibri"/>
        <w:b/>
        <w:i w:val="0"/>
        <w:color w:val="00558C"/>
        <w:sz w:val="22"/>
      </w:rPr>
    </w:lvl>
    <w:lvl w:ilvl="4">
      <w:start w:val="1"/>
      <w:numFmt w:val="decimal"/>
      <w:pStyle w:val="Heading5"/>
      <w:lvlText w:val="%1.%2.%3.%4.%5"/>
      <w:lvlJc w:val="left"/>
      <w:pPr>
        <w:tabs>
          <w:tab w:val="num" w:pos="0"/>
        </w:tabs>
        <w:ind w:left="1008" w:hanging="1008"/>
      </w:pPr>
      <w:rPr>
        <w:rFonts w:ascii="Calibri" w:hAnsi="Calibri"/>
        <w:color w:val="00558C"/>
      </w:r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4" w15:restartNumberingAfterBreak="0">
    <w:nsid w:val="194F1A33"/>
    <w:multiLevelType w:val="multilevel"/>
    <w:tmpl w:val="A488849C"/>
    <w:lvl w:ilvl="0">
      <w:start w:val="1"/>
      <w:numFmt w:val="upperLetter"/>
      <w:pStyle w:val="Annex"/>
      <w:lvlText w:val="ANNEX %1"/>
      <w:lvlJc w:val="left"/>
      <w:pPr>
        <w:tabs>
          <w:tab w:val="num" w:pos="0"/>
        </w:tabs>
        <w:ind w:left="851" w:hanging="851"/>
      </w:pPr>
      <w:rPr>
        <w:rFonts w:ascii="Calibri" w:hAnsi="Calibri"/>
        <w:b/>
        <w:i w:val="0"/>
        <w:caps/>
        <w:color w:val="00558C"/>
        <w:sz w:val="28"/>
        <w:u w:val="none"/>
      </w:rPr>
    </w:lvl>
    <w:lvl w:ilvl="1">
      <w:start w:val="1"/>
      <w:numFmt w:val="decimal"/>
      <w:lvlText w:val="%1.%2."/>
      <w:lvlJc w:val="left"/>
      <w:pPr>
        <w:tabs>
          <w:tab w:val="num" w:pos="0"/>
        </w:tabs>
        <w:ind w:left="851" w:hanging="851"/>
      </w:pPr>
      <w:rPr>
        <w:rFonts w:ascii="Calibri" w:hAnsi="Calibri"/>
        <w:b/>
        <w:i w:val="0"/>
        <w:caps/>
        <w:color w:val="00558C"/>
        <w:sz w:val="24"/>
      </w:rPr>
    </w:lvl>
    <w:lvl w:ilvl="2">
      <w:start w:val="1"/>
      <w:numFmt w:val="decimal"/>
      <w:lvlText w:val="%1.%2.%3."/>
      <w:lvlJc w:val="left"/>
      <w:pPr>
        <w:tabs>
          <w:tab w:val="num" w:pos="0"/>
        </w:tabs>
        <w:ind w:left="1021" w:hanging="1021"/>
      </w:pPr>
      <w:rPr>
        <w:rFonts w:ascii="Calibri" w:hAnsi="Calibri"/>
        <w:b/>
        <w:i w:val="0"/>
        <w:vanish w:val="0"/>
        <w:color w:val="00558C"/>
        <w:sz w:val="24"/>
      </w:rPr>
    </w:lvl>
    <w:lvl w:ilvl="3">
      <w:start w:val="1"/>
      <w:numFmt w:val="decimal"/>
      <w:lvlText w:val="%1.%2.%3.%4."/>
      <w:lvlJc w:val="left"/>
      <w:pPr>
        <w:tabs>
          <w:tab w:val="num" w:pos="0"/>
        </w:tabs>
        <w:ind w:left="1134" w:hanging="1134"/>
      </w:pPr>
      <w:rPr>
        <w:rFonts w:ascii="Calibri" w:hAnsi="Calibri"/>
        <w:b/>
        <w:i w:val="0"/>
        <w:caps/>
        <w:color w:val="00558C"/>
        <w:sz w:val="22"/>
      </w:rPr>
    </w:lvl>
    <w:lvl w:ilvl="4">
      <w:start w:val="1"/>
      <w:numFmt w:val="decimal"/>
      <w:pStyle w:val="AnnexHead5"/>
      <w:lvlText w:val="%1.%2.%3.%4.%5."/>
      <w:lvlJc w:val="left"/>
      <w:pPr>
        <w:tabs>
          <w:tab w:val="num" w:pos="0"/>
        </w:tabs>
        <w:ind w:left="1134" w:hanging="1134"/>
      </w:pPr>
      <w:rPr>
        <w:rFonts w:ascii="Calibri" w:hAnsi="Calibri"/>
        <w:b w:val="0"/>
        <w:i w:val="0"/>
        <w:caps/>
        <w:color w:val="00558C"/>
        <w:sz w:val="22"/>
      </w:rPr>
    </w:lvl>
    <w:lvl w:ilvl="5">
      <w:start w:val="1"/>
      <w:numFmt w:val="decimal"/>
      <w:lvlText w:val="%1.%2.%3.%4.%5.%6."/>
      <w:lvlJc w:val="left"/>
      <w:pPr>
        <w:tabs>
          <w:tab w:val="num" w:pos="0"/>
        </w:tabs>
        <w:ind w:left="851" w:hanging="851"/>
      </w:pPr>
    </w:lvl>
    <w:lvl w:ilvl="6">
      <w:start w:val="1"/>
      <w:numFmt w:val="decimal"/>
      <w:lvlText w:val="%1.%2.%3.%4.%5.%6.%7."/>
      <w:lvlJc w:val="left"/>
      <w:pPr>
        <w:tabs>
          <w:tab w:val="num" w:pos="0"/>
        </w:tabs>
        <w:ind w:left="851" w:hanging="851"/>
      </w:pPr>
    </w:lvl>
    <w:lvl w:ilvl="7">
      <w:start w:val="1"/>
      <w:numFmt w:val="decimal"/>
      <w:lvlText w:val="%1.%2.%3.%4.%5.%6.%7.%8."/>
      <w:lvlJc w:val="left"/>
      <w:pPr>
        <w:tabs>
          <w:tab w:val="num" w:pos="0"/>
        </w:tabs>
        <w:ind w:left="851" w:hanging="851"/>
      </w:pPr>
    </w:lvl>
    <w:lvl w:ilvl="8">
      <w:start w:val="1"/>
      <w:numFmt w:val="decimal"/>
      <w:lvlText w:val="%1.%2.%3.%4.%5.%6.%7.%8.%9."/>
      <w:lvlJc w:val="left"/>
      <w:pPr>
        <w:tabs>
          <w:tab w:val="num" w:pos="0"/>
        </w:tabs>
        <w:ind w:left="851" w:hanging="851"/>
      </w:pPr>
    </w:lvl>
  </w:abstractNum>
  <w:abstractNum w:abstractNumId="5" w15:restartNumberingAfterBreak="0">
    <w:nsid w:val="1D212D62"/>
    <w:multiLevelType w:val="multilevel"/>
    <w:tmpl w:val="63869C4E"/>
    <w:lvl w:ilvl="0">
      <w:start w:val="1"/>
      <w:numFmt w:val="decimal"/>
      <w:pStyle w:val="AnnexFigureCaption"/>
      <w:lvlText w:val="Figure %1"/>
      <w:lvlJc w:val="left"/>
      <w:pPr>
        <w:tabs>
          <w:tab w:val="num" w:pos="0"/>
        </w:tabs>
        <w:ind w:left="992" w:hanging="992"/>
      </w:pPr>
      <w:rPr>
        <w:rFonts w:ascii="Calibri" w:hAnsi="Calibri"/>
        <w:b w:val="0"/>
        <w:i/>
        <w:sz w:val="22"/>
        <w:u w:val="none"/>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15:restartNumberingAfterBreak="0">
    <w:nsid w:val="1D5B5EFA"/>
    <w:multiLevelType w:val="multilevel"/>
    <w:tmpl w:val="AF083DCE"/>
    <w:lvl w:ilvl="0">
      <w:start w:val="1"/>
      <w:numFmt w:val="decimal"/>
      <w:pStyle w:val="Closing"/>
      <w:lvlText w:val="APPENDIX %1"/>
      <w:lvlJc w:val="left"/>
      <w:pPr>
        <w:tabs>
          <w:tab w:val="num" w:pos="0"/>
        </w:tabs>
        <w:ind w:left="1701" w:hanging="1701"/>
      </w:pPr>
      <w:rPr>
        <w:rFonts w:ascii="Calibri (Body)" w:hAnsi="Calibri (Body)"/>
        <w:b/>
        <w:bCs w:val="0"/>
        <w:i w:val="0"/>
        <w:iCs w:val="0"/>
        <w:caps/>
        <w:strike w:val="0"/>
        <w:dstrike w:val="0"/>
        <w:vanish w:val="0"/>
        <w:color w:val="00558C"/>
        <w:spacing w:val="0"/>
        <w:kern w:val="0"/>
        <w:position w:val="0"/>
        <w:sz w:val="28"/>
        <w:u w:val="none"/>
        <w:effect w:val="none"/>
        <w:vertAlign w:val="baseline"/>
        <w:em w:val="none"/>
      </w:rPr>
    </w:lvl>
    <w:lvl w:ilvl="1">
      <w:start w:val="1"/>
      <w:numFmt w:val="decimal"/>
      <w:pStyle w:val="AppendixHead1"/>
      <w:lvlText w:val="%2."/>
      <w:lvlJc w:val="left"/>
      <w:pPr>
        <w:tabs>
          <w:tab w:val="num" w:pos="0"/>
        </w:tabs>
        <w:ind w:left="907" w:hanging="907"/>
      </w:pPr>
    </w:lvl>
    <w:lvl w:ilvl="2">
      <w:start w:val="1"/>
      <w:numFmt w:val="decimal"/>
      <w:lvlText w:val="%2.%3."/>
      <w:lvlJc w:val="left"/>
      <w:pPr>
        <w:tabs>
          <w:tab w:val="num" w:pos="0"/>
        </w:tabs>
        <w:ind w:left="1247" w:hanging="1247"/>
      </w:pPr>
    </w:lvl>
    <w:lvl w:ilvl="3">
      <w:start w:val="1"/>
      <w:numFmt w:val="decimal"/>
      <w:pStyle w:val="AppendixHead3"/>
      <w:lvlText w:val="%2.%3.%4."/>
      <w:lvlJc w:val="left"/>
      <w:pPr>
        <w:tabs>
          <w:tab w:val="num" w:pos="0"/>
        </w:tabs>
        <w:ind w:left="1588" w:hanging="1588"/>
      </w:pPr>
    </w:lvl>
    <w:lvl w:ilvl="4">
      <w:start w:val="1"/>
      <w:numFmt w:val="decimal"/>
      <w:lvlText w:val="%2.%3.%4.%5."/>
      <w:lvlJc w:val="left"/>
      <w:pPr>
        <w:tabs>
          <w:tab w:val="num" w:pos="0"/>
        </w:tabs>
        <w:ind w:left="1758" w:hanging="1758"/>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15:restartNumberingAfterBreak="0">
    <w:nsid w:val="1F3F62EF"/>
    <w:multiLevelType w:val="multilevel"/>
    <w:tmpl w:val="8486AA40"/>
    <w:lvl w:ilvl="0">
      <w:start w:val="1"/>
      <w:numFmt w:val="bullet"/>
      <w:pStyle w:val="InsetList"/>
      <w:lvlText w:val=""/>
      <w:lvlJc w:val="left"/>
      <w:pPr>
        <w:tabs>
          <w:tab w:val="num" w:pos="0"/>
        </w:tabs>
        <w:ind w:left="680" w:hanging="396"/>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229A32AA"/>
    <w:multiLevelType w:val="multilevel"/>
    <w:tmpl w:val="B838AA40"/>
    <w:lvl w:ilvl="0">
      <w:start w:val="1"/>
      <w:numFmt w:val="bullet"/>
      <w:pStyle w:val="Bullet1"/>
      <w:lvlText w:val=""/>
      <w:lvlJc w:val="left"/>
      <w:pPr>
        <w:tabs>
          <w:tab w:val="num" w:pos="0"/>
        </w:tabs>
        <w:ind w:left="360" w:hanging="360"/>
      </w:pPr>
      <w:rPr>
        <w:rFonts w:ascii="Symbol" w:hAnsi="Symbol" w:cs="Symbol" w:hint="default"/>
        <w:color w:val="00558C"/>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63160DD"/>
    <w:multiLevelType w:val="multilevel"/>
    <w:tmpl w:val="84287534"/>
    <w:lvl w:ilvl="0">
      <w:start w:val="1"/>
      <w:numFmt w:val="decimal"/>
      <w:pStyle w:val="AnnexFigure"/>
      <w:lvlText w:val="Figure %1"/>
      <w:lvlJc w:val="left"/>
      <w:pPr>
        <w:tabs>
          <w:tab w:val="num" w:pos="1701"/>
        </w:tabs>
        <w:ind w:left="1701" w:hanging="1701"/>
      </w:pPr>
      <w:rPr>
        <w:rFonts w:ascii="Arial" w:hAnsi="Arial"/>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26B9336F"/>
    <w:multiLevelType w:val="multilevel"/>
    <w:tmpl w:val="E9A4CD2C"/>
    <w:lvl w:ilvl="0">
      <w:start w:val="1"/>
      <w:numFmt w:val="bullet"/>
      <w:pStyle w:val="Tableinsetlist"/>
      <w:lvlText w:val=""/>
      <w:lvlJc w:val="left"/>
      <w:pPr>
        <w:tabs>
          <w:tab w:val="num" w:pos="0"/>
        </w:tabs>
        <w:ind w:left="397" w:hanging="284"/>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31F55403"/>
    <w:multiLevelType w:val="multilevel"/>
    <w:tmpl w:val="767CE80E"/>
    <w:lvl w:ilvl="0">
      <w:start w:val="1"/>
      <w:numFmt w:val="decimal"/>
      <w:pStyle w:val="Furtherreading"/>
      <w:lvlText w:val="[%1]"/>
      <w:lvlJc w:val="left"/>
      <w:pPr>
        <w:tabs>
          <w:tab w:val="num" w:pos="0"/>
        </w:tabs>
        <w:ind w:left="567" w:hanging="567"/>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2" w15:restartNumberingAfterBreak="0">
    <w:nsid w:val="399006E0"/>
    <w:multiLevelType w:val="multilevel"/>
    <w:tmpl w:val="F48A0F5E"/>
    <w:lvl w:ilvl="0">
      <w:start w:val="1"/>
      <w:numFmt w:val="decimal"/>
      <w:lvlText w:val="%1."/>
      <w:lvlJc w:val="left"/>
      <w:pPr>
        <w:tabs>
          <w:tab w:val="num" w:pos="0"/>
        </w:tabs>
        <w:ind w:left="709" w:hanging="709"/>
      </w:pPr>
      <w:rPr>
        <w:rFonts w:ascii="Calibri" w:hAnsi="Calibri"/>
        <w:b/>
        <w:i w:val="0"/>
        <w:color w:val="00558C"/>
        <w:sz w:val="28"/>
      </w:rPr>
    </w:lvl>
    <w:lvl w:ilvl="1">
      <w:start w:val="1"/>
      <w:numFmt w:val="decimal"/>
      <w:lvlText w:val="%1.%2."/>
      <w:lvlJc w:val="left"/>
      <w:pPr>
        <w:tabs>
          <w:tab w:val="num" w:pos="0"/>
        </w:tabs>
        <w:ind w:left="851" w:hanging="851"/>
      </w:pPr>
      <w:rPr>
        <w:rFonts w:ascii="Calibri" w:hAnsi="Calibri"/>
        <w:b/>
        <w:i w:val="0"/>
        <w:color w:val="00558C"/>
        <w:sz w:val="24"/>
      </w:rPr>
    </w:lvl>
    <w:lvl w:ilvl="2">
      <w:start w:val="1"/>
      <w:numFmt w:val="decimal"/>
      <w:lvlText w:val="%1.%2.%3."/>
      <w:lvlJc w:val="left"/>
      <w:pPr>
        <w:tabs>
          <w:tab w:val="num" w:pos="0"/>
        </w:tabs>
        <w:ind w:left="992" w:hanging="992"/>
      </w:pPr>
      <w:rPr>
        <w:rFonts w:ascii="Calibri" w:hAnsi="Calibri"/>
        <w:b/>
        <w:i w:val="0"/>
        <w:color w:val="00558C"/>
        <w:sz w:val="22"/>
      </w:rPr>
    </w:lvl>
    <w:lvl w:ilvl="3">
      <w:start w:val="1"/>
      <w:numFmt w:val="decimal"/>
      <w:lvlText w:val="%1.%2.%3.%4."/>
      <w:lvlJc w:val="left"/>
      <w:pPr>
        <w:tabs>
          <w:tab w:val="num" w:pos="0"/>
        </w:tabs>
        <w:ind w:left="1134" w:hanging="1134"/>
      </w:pPr>
      <w:rPr>
        <w:rFonts w:ascii="Calibri" w:hAnsi="Calibri"/>
        <w:b/>
        <w:i w:val="0"/>
        <w:color w:val="00558C"/>
        <w:sz w:val="22"/>
      </w:rPr>
    </w:lvl>
    <w:lvl w:ilvl="4">
      <w:start w:val="1"/>
      <w:numFmt w:val="decimal"/>
      <w:lvlText w:val="%1.%2.%3.%4.%5"/>
      <w:lvlJc w:val="left"/>
      <w:pPr>
        <w:tabs>
          <w:tab w:val="num" w:pos="0"/>
        </w:tabs>
        <w:ind w:left="1008" w:hanging="1008"/>
      </w:pPr>
      <w:rPr>
        <w:rFonts w:ascii="Calibri" w:hAnsi="Calibri"/>
        <w:color w:val="00558C"/>
      </w:r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3" w15:restartNumberingAfterBreak="0">
    <w:nsid w:val="39E9598D"/>
    <w:multiLevelType w:val="multilevel"/>
    <w:tmpl w:val="A0EAC79E"/>
    <w:lvl w:ilvl="0">
      <w:start w:val="1"/>
      <w:numFmt w:val="decimal"/>
      <w:pStyle w:val="Figure"/>
      <w:lvlText w:val="Figure %1"/>
      <w:lvlJc w:val="left"/>
      <w:pPr>
        <w:tabs>
          <w:tab w:val="num" w:pos="1134"/>
        </w:tabs>
        <w:ind w:left="1134" w:hanging="1134"/>
      </w:pPr>
      <w:rPr>
        <w:rFonts w:ascii="Arial" w:hAnsi="Arial"/>
        <w:b w:val="0"/>
        <w:i/>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3CBE10A2"/>
    <w:multiLevelType w:val="multilevel"/>
    <w:tmpl w:val="ABAC9072"/>
    <w:lvl w:ilvl="0">
      <w:start w:val="1"/>
      <w:numFmt w:val="decimal"/>
      <w:pStyle w:val="Reference"/>
      <w:lvlText w:val="[%1]"/>
      <w:lvlJc w:val="left"/>
      <w:pPr>
        <w:tabs>
          <w:tab w:val="num" w:pos="0"/>
        </w:tabs>
        <w:ind w:left="567" w:hanging="567"/>
      </w:pPr>
      <w:rPr>
        <w:rFonts w:ascii="Calibri" w:hAnsi="Calibri"/>
        <w:b w:val="0"/>
        <w:i w:val="0"/>
        <w:sz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43DF0074"/>
    <w:multiLevelType w:val="multilevel"/>
    <w:tmpl w:val="185491C8"/>
    <w:lvl w:ilvl="0">
      <w:start w:val="1"/>
      <w:numFmt w:val="decimal"/>
      <w:pStyle w:val="List2"/>
      <w:lvlText w:val="%1"/>
      <w:lvlJc w:val="left"/>
      <w:pPr>
        <w:tabs>
          <w:tab w:val="num" w:pos="567"/>
        </w:tabs>
        <w:ind w:left="567" w:hanging="567"/>
      </w:pPr>
      <w:rPr>
        <w:rFonts w:ascii="Calibri" w:hAnsi="Calibri"/>
        <w:b w:val="0"/>
        <w:i w:val="0"/>
        <w:sz w:val="22"/>
        <w:szCs w:val="22"/>
      </w:rPr>
    </w:lvl>
    <w:lvl w:ilvl="1">
      <w:start w:val="1"/>
      <w:numFmt w:val="lowerLetter"/>
      <w:pStyle w:val="List1indent1"/>
      <w:lvlText w:val="%2."/>
      <w:lvlJc w:val="left"/>
      <w:pPr>
        <w:tabs>
          <w:tab w:val="num" w:pos="1134"/>
        </w:tabs>
        <w:ind w:left="1134" w:hanging="567"/>
      </w:pPr>
    </w:lvl>
    <w:lvl w:ilvl="2">
      <w:start w:val="1"/>
      <w:numFmt w:val="lowerRoman"/>
      <w:pStyle w:val="List1indent2"/>
      <w:lvlText w:val="%3."/>
      <w:lvlJc w:val="left"/>
      <w:pPr>
        <w:tabs>
          <w:tab w:val="num" w:pos="1701"/>
        </w:tabs>
        <w:ind w:left="1701" w:hanging="567"/>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477D3793"/>
    <w:multiLevelType w:val="multilevel"/>
    <w:tmpl w:val="60BECABE"/>
    <w:lvl w:ilvl="0">
      <w:start w:val="1"/>
      <w:numFmt w:val="decimal"/>
      <w:pStyle w:val="AppendixHeading1"/>
      <w:lvlText w:val="%1"/>
      <w:lvlJc w:val="left"/>
      <w:pPr>
        <w:tabs>
          <w:tab w:val="num" w:pos="567"/>
        </w:tabs>
        <w:ind w:left="567" w:hanging="567"/>
      </w:pPr>
      <w:rPr>
        <w:rFonts w:ascii="Arial" w:hAnsi="Arial"/>
        <w:b/>
        <w:i w:val="0"/>
        <w:sz w:val="24"/>
      </w:rPr>
    </w:lvl>
    <w:lvl w:ilvl="1">
      <w:start w:val="1"/>
      <w:numFmt w:val="decimal"/>
      <w:pStyle w:val="AppendixHeading2"/>
      <w:lvlText w:val="%1.%2"/>
      <w:lvlJc w:val="left"/>
      <w:pPr>
        <w:tabs>
          <w:tab w:val="num" w:pos="851"/>
        </w:tabs>
        <w:ind w:left="851" w:hanging="851"/>
      </w:pPr>
      <w:rPr>
        <w:rFonts w:ascii="Arial" w:hAnsi="Arial"/>
        <w:b/>
        <w:i w:val="0"/>
        <w:sz w:val="22"/>
      </w:rPr>
    </w:lvl>
    <w:lvl w:ilvl="2">
      <w:start w:val="1"/>
      <w:numFmt w:val="decimal"/>
      <w:pStyle w:val="AppendixHeading3"/>
      <w:lvlText w:val="%1.%2.%3"/>
      <w:lvlJc w:val="left"/>
      <w:pPr>
        <w:tabs>
          <w:tab w:val="num" w:pos="992"/>
        </w:tabs>
        <w:ind w:left="992" w:hanging="992"/>
      </w:pPr>
      <w:rPr>
        <w:rFonts w:ascii="Arial" w:hAnsi="Arial"/>
        <w:b w:val="0"/>
        <w:i w:val="0"/>
        <w:sz w:val="22"/>
      </w:rPr>
    </w:lvl>
    <w:lvl w:ilvl="3">
      <w:start w:val="1"/>
      <w:numFmt w:val="decimal"/>
      <w:pStyle w:val="AppendixHeading4"/>
      <w:lvlText w:val="%1.%2.%3.%4"/>
      <w:lvlJc w:val="left"/>
      <w:pPr>
        <w:tabs>
          <w:tab w:val="num" w:pos="1134"/>
        </w:tabs>
        <w:ind w:left="1134" w:hanging="1134"/>
      </w:pPr>
      <w:rPr>
        <w:rFonts w:ascii="Arial" w:hAnsi="Arial"/>
        <w:b w:val="0"/>
        <w:i w:val="0"/>
        <w:sz w:val="22"/>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7" w15:restartNumberingAfterBreak="0">
    <w:nsid w:val="48E118F2"/>
    <w:multiLevelType w:val="multilevel"/>
    <w:tmpl w:val="763672E8"/>
    <w:lvl w:ilvl="0">
      <w:start w:val="1"/>
      <w:numFmt w:val="decimal"/>
      <w:pStyle w:val="AnnexTable"/>
      <w:lvlText w:val="Table %1"/>
      <w:lvlJc w:val="left"/>
      <w:pPr>
        <w:tabs>
          <w:tab w:val="num" w:pos="1134"/>
        </w:tabs>
        <w:ind w:left="1134" w:hanging="1134"/>
      </w:pPr>
      <w:rPr>
        <w:rFonts w:ascii="Arial" w:hAnsi="Arial"/>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FF35D7C"/>
    <w:multiLevelType w:val="multilevel"/>
    <w:tmpl w:val="4A5C1826"/>
    <w:lvl w:ilvl="0">
      <w:start w:val="1"/>
      <w:numFmt w:val="decimal"/>
      <w:pStyle w:val="Equation1"/>
      <w:lvlText w:val="(%1)"/>
      <w:lvlJc w:val="left"/>
      <w:pPr>
        <w:tabs>
          <w:tab w:val="num" w:pos="0"/>
        </w:tabs>
        <w:ind w:left="360" w:hanging="360"/>
      </w:pPr>
      <w:rPr>
        <w:b w:val="0"/>
        <w:i w:val="0"/>
        <w:sz w:val="22"/>
        <w:u w:val="none"/>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9" w15:restartNumberingAfterBreak="0">
    <w:nsid w:val="50AC1A4F"/>
    <w:multiLevelType w:val="multilevel"/>
    <w:tmpl w:val="18CC9AAA"/>
    <w:lvl w:ilvl="0">
      <w:start w:val="1"/>
      <w:numFmt w:val="decimal"/>
      <w:lvlText w:val="%1"/>
      <w:lvlJc w:val="left"/>
      <w:pPr>
        <w:tabs>
          <w:tab w:val="num" w:pos="0"/>
        </w:tabs>
        <w:ind w:left="567" w:hanging="567"/>
      </w:pPr>
      <w:rPr>
        <w:rFonts w:ascii="Calibri" w:hAnsi="Calibri"/>
        <w:b w:val="0"/>
        <w:i w:val="0"/>
        <w:sz w:val="22"/>
      </w:rPr>
    </w:lvl>
    <w:lvl w:ilvl="1">
      <w:start w:val="1"/>
      <w:numFmt w:val="lowerLetter"/>
      <w:pStyle w:val="Lista"/>
      <w:lvlText w:val="%2"/>
      <w:lvlJc w:val="left"/>
      <w:pPr>
        <w:tabs>
          <w:tab w:val="num" w:pos="0"/>
        </w:tabs>
        <w:ind w:left="1134" w:hanging="567"/>
      </w:pPr>
      <w:rPr>
        <w:rFonts w:ascii="Calibri" w:hAnsi="Calibri"/>
        <w:b w:val="0"/>
        <w:i w:val="0"/>
        <w:sz w:val="22"/>
      </w:rPr>
    </w:lvl>
    <w:lvl w:ilvl="2">
      <w:start w:val="1"/>
      <w:numFmt w:val="lowerRoman"/>
      <w:pStyle w:val="Listi"/>
      <w:lvlText w:val="%3"/>
      <w:lvlJc w:val="left"/>
      <w:pPr>
        <w:tabs>
          <w:tab w:val="num" w:pos="0"/>
        </w:tabs>
        <w:ind w:left="2268" w:hanging="567"/>
      </w:pPr>
      <w:rPr>
        <w:rFonts w:ascii="Calibri" w:hAnsi="Calibri"/>
        <w:b w:val="0"/>
        <w:i w:val="0"/>
        <w:sz w:val="20"/>
      </w:rPr>
    </w:lvl>
    <w:lvl w:ilvl="3">
      <w:start w:val="1"/>
      <w:numFmt w:val="decimal"/>
      <w:lvlText w:val="(%4)"/>
      <w:lvlJc w:val="left"/>
      <w:pPr>
        <w:tabs>
          <w:tab w:val="num" w:pos="0"/>
        </w:tabs>
        <w:ind w:left="2858" w:hanging="360"/>
      </w:pPr>
    </w:lvl>
    <w:lvl w:ilvl="4">
      <w:start w:val="1"/>
      <w:numFmt w:val="lowerLetter"/>
      <w:lvlText w:val="(%5)"/>
      <w:lvlJc w:val="left"/>
      <w:pPr>
        <w:tabs>
          <w:tab w:val="num" w:pos="0"/>
        </w:tabs>
        <w:ind w:left="3218" w:hanging="360"/>
      </w:pPr>
    </w:lvl>
    <w:lvl w:ilvl="5">
      <w:start w:val="1"/>
      <w:numFmt w:val="lowerRoman"/>
      <w:lvlText w:val="(%6)"/>
      <w:lvlJc w:val="left"/>
      <w:pPr>
        <w:tabs>
          <w:tab w:val="num" w:pos="0"/>
        </w:tabs>
        <w:ind w:left="3578" w:hanging="360"/>
      </w:pPr>
    </w:lvl>
    <w:lvl w:ilvl="6">
      <w:start w:val="1"/>
      <w:numFmt w:val="decimal"/>
      <w:lvlText w:val="%7."/>
      <w:lvlJc w:val="left"/>
      <w:pPr>
        <w:tabs>
          <w:tab w:val="num" w:pos="0"/>
        </w:tabs>
        <w:ind w:left="3938" w:hanging="360"/>
      </w:pPr>
    </w:lvl>
    <w:lvl w:ilvl="7">
      <w:start w:val="1"/>
      <w:numFmt w:val="lowerLetter"/>
      <w:lvlText w:val="%8."/>
      <w:lvlJc w:val="left"/>
      <w:pPr>
        <w:tabs>
          <w:tab w:val="num" w:pos="0"/>
        </w:tabs>
        <w:ind w:left="4298" w:hanging="360"/>
      </w:pPr>
    </w:lvl>
    <w:lvl w:ilvl="8">
      <w:start w:val="1"/>
      <w:numFmt w:val="lowerRoman"/>
      <w:lvlText w:val="%9."/>
      <w:lvlJc w:val="left"/>
      <w:pPr>
        <w:tabs>
          <w:tab w:val="num" w:pos="0"/>
        </w:tabs>
        <w:ind w:left="4658" w:hanging="360"/>
      </w:pPr>
    </w:lvl>
  </w:abstractNum>
  <w:abstractNum w:abstractNumId="20" w15:restartNumberingAfterBreak="0">
    <w:nsid w:val="53FE7C39"/>
    <w:multiLevelType w:val="multilevel"/>
    <w:tmpl w:val="C778E360"/>
    <w:lvl w:ilvl="0">
      <w:start w:val="1"/>
      <w:numFmt w:val="decimal"/>
      <w:pStyle w:val="ListNumb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5CAF74DB"/>
    <w:multiLevelType w:val="multilevel"/>
    <w:tmpl w:val="A270292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2" w15:restartNumberingAfterBreak="0">
    <w:nsid w:val="5D803DE1"/>
    <w:multiLevelType w:val="multilevel"/>
    <w:tmpl w:val="66BA536C"/>
    <w:lvl w:ilvl="0">
      <w:start w:val="1"/>
      <w:numFmt w:val="bullet"/>
      <w:pStyle w:val="Bullet3"/>
      <w:lvlText w:val="o"/>
      <w:lvlJc w:val="left"/>
      <w:pPr>
        <w:tabs>
          <w:tab w:val="num" w:pos="0"/>
        </w:tabs>
        <w:ind w:left="1211"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61501762"/>
    <w:multiLevelType w:val="multilevel"/>
    <w:tmpl w:val="59C8A290"/>
    <w:lvl w:ilvl="0">
      <w:start w:val="1"/>
      <w:numFmt w:val="decimal"/>
      <w:pStyle w:val="Tablecaption"/>
      <w:lvlText w:val="Table %1"/>
      <w:lvlJc w:val="left"/>
      <w:pPr>
        <w:tabs>
          <w:tab w:val="num" w:pos="0"/>
        </w:tabs>
        <w:ind w:left="567" w:hanging="567"/>
      </w:pPr>
      <w:rPr>
        <w:rFonts w:ascii="Calibri" w:hAnsi="Calibri"/>
        <w:b w:val="0"/>
        <w:i/>
        <w:u w:val="none"/>
      </w:rPr>
    </w:lvl>
    <w:lvl w:ilvl="1">
      <w:start w:val="1"/>
      <w:numFmt w:val="decimal"/>
      <w:lvlText w:val="%1.%2."/>
      <w:lvlJc w:val="left"/>
      <w:pPr>
        <w:tabs>
          <w:tab w:val="num" w:pos="0"/>
        </w:tabs>
        <w:ind w:left="1502" w:hanging="432"/>
      </w:pPr>
    </w:lvl>
    <w:lvl w:ilvl="2">
      <w:start w:val="1"/>
      <w:numFmt w:val="decimal"/>
      <w:lvlText w:val="%1.%2.%3."/>
      <w:lvlJc w:val="left"/>
      <w:pPr>
        <w:tabs>
          <w:tab w:val="num" w:pos="0"/>
        </w:tabs>
        <w:ind w:left="1934" w:hanging="504"/>
      </w:pPr>
    </w:lvl>
    <w:lvl w:ilvl="3">
      <w:start w:val="1"/>
      <w:numFmt w:val="decimal"/>
      <w:lvlText w:val="%1.%2.%3.%4."/>
      <w:lvlJc w:val="left"/>
      <w:pPr>
        <w:tabs>
          <w:tab w:val="num" w:pos="0"/>
        </w:tabs>
        <w:ind w:left="2438" w:hanging="648"/>
      </w:pPr>
    </w:lvl>
    <w:lvl w:ilvl="4">
      <w:start w:val="1"/>
      <w:numFmt w:val="decimal"/>
      <w:lvlText w:val="%1.%2.%3.%4.%5."/>
      <w:lvlJc w:val="left"/>
      <w:pPr>
        <w:tabs>
          <w:tab w:val="num" w:pos="0"/>
        </w:tabs>
        <w:ind w:left="2942" w:hanging="792"/>
      </w:pPr>
    </w:lvl>
    <w:lvl w:ilvl="5">
      <w:start w:val="1"/>
      <w:numFmt w:val="decimal"/>
      <w:lvlText w:val="%1.%2.%3.%4.%5.%6."/>
      <w:lvlJc w:val="left"/>
      <w:pPr>
        <w:tabs>
          <w:tab w:val="num" w:pos="0"/>
        </w:tabs>
        <w:ind w:left="3446" w:hanging="936"/>
      </w:pPr>
    </w:lvl>
    <w:lvl w:ilvl="6">
      <w:start w:val="1"/>
      <w:numFmt w:val="decimal"/>
      <w:lvlText w:val="%1.%2.%3.%4.%5.%6.%7."/>
      <w:lvlJc w:val="left"/>
      <w:pPr>
        <w:tabs>
          <w:tab w:val="num" w:pos="0"/>
        </w:tabs>
        <w:ind w:left="3950" w:hanging="1080"/>
      </w:pPr>
    </w:lvl>
    <w:lvl w:ilvl="7">
      <w:start w:val="1"/>
      <w:numFmt w:val="decimal"/>
      <w:lvlText w:val="%1.%2.%3.%4.%5.%6.%7.%8."/>
      <w:lvlJc w:val="left"/>
      <w:pPr>
        <w:tabs>
          <w:tab w:val="num" w:pos="0"/>
        </w:tabs>
        <w:ind w:left="4454" w:hanging="1224"/>
      </w:pPr>
    </w:lvl>
    <w:lvl w:ilvl="8">
      <w:start w:val="1"/>
      <w:numFmt w:val="decimal"/>
      <w:lvlText w:val="%1.%2.%3.%4.%5.%6.%7.%8.%9."/>
      <w:lvlJc w:val="left"/>
      <w:pPr>
        <w:tabs>
          <w:tab w:val="num" w:pos="0"/>
        </w:tabs>
        <w:ind w:left="5030" w:hanging="1440"/>
      </w:pPr>
    </w:lvl>
  </w:abstractNum>
  <w:abstractNum w:abstractNumId="24" w15:restartNumberingAfterBreak="0">
    <w:nsid w:val="6B2A089F"/>
    <w:multiLevelType w:val="multilevel"/>
    <w:tmpl w:val="DB76D260"/>
    <w:lvl w:ilvl="0">
      <w:start w:val="1"/>
      <w:numFmt w:val="decimal"/>
      <w:pStyle w:val="Figurecaption"/>
      <w:lvlText w:val="Figure %1"/>
      <w:lvlJc w:val="left"/>
      <w:pPr>
        <w:tabs>
          <w:tab w:val="num" w:pos="0"/>
        </w:tabs>
        <w:ind w:left="992" w:hanging="992"/>
      </w:pPr>
      <w:rPr>
        <w:rFonts w:ascii="Calibri" w:hAnsi="Calibri"/>
        <w:b w:val="0"/>
        <w:i/>
        <w:sz w:val="22"/>
        <w:u w:val="none"/>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5" w15:restartNumberingAfterBreak="0">
    <w:nsid w:val="7A93362C"/>
    <w:multiLevelType w:val="multilevel"/>
    <w:tmpl w:val="E0D03912"/>
    <w:lvl w:ilvl="0">
      <w:start w:val="1"/>
      <w:numFmt w:val="bullet"/>
      <w:pStyle w:val="Bullet2"/>
      <w:lvlText w:val=""/>
      <w:lvlJc w:val="left"/>
      <w:pPr>
        <w:tabs>
          <w:tab w:val="num" w:pos="0"/>
        </w:tabs>
        <w:ind w:left="851" w:hanging="426"/>
      </w:pPr>
      <w:rPr>
        <w:rFonts w:ascii="Symbol" w:hAnsi="Symbol" w:cs="Symbol" w:hint="default"/>
        <w:color w:val="B2C1ED"/>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313265107">
    <w:abstractNumId w:val="3"/>
  </w:num>
  <w:num w:numId="2" w16cid:durableId="1969700179">
    <w:abstractNumId w:val="20"/>
  </w:num>
  <w:num w:numId="3" w16cid:durableId="1068309764">
    <w:abstractNumId w:val="9"/>
  </w:num>
  <w:num w:numId="4" w16cid:durableId="1454324702">
    <w:abstractNumId w:val="2"/>
  </w:num>
  <w:num w:numId="5" w16cid:durableId="174267519">
    <w:abstractNumId w:val="17"/>
  </w:num>
  <w:num w:numId="6" w16cid:durableId="780026480">
    <w:abstractNumId w:val="16"/>
  </w:num>
  <w:num w:numId="7" w16cid:durableId="1656451170">
    <w:abstractNumId w:val="13"/>
  </w:num>
  <w:num w:numId="8" w16cid:durableId="1138376334">
    <w:abstractNumId w:val="14"/>
  </w:num>
  <w:num w:numId="9" w16cid:durableId="1350569089">
    <w:abstractNumId w:val="0"/>
  </w:num>
  <w:num w:numId="10" w16cid:durableId="59789181">
    <w:abstractNumId w:val="15"/>
  </w:num>
  <w:num w:numId="11" w16cid:durableId="946355932">
    <w:abstractNumId w:val="8"/>
  </w:num>
  <w:num w:numId="12" w16cid:durableId="1386097878">
    <w:abstractNumId w:val="25"/>
  </w:num>
  <w:num w:numId="13" w16cid:durableId="846947017">
    <w:abstractNumId w:val="4"/>
  </w:num>
  <w:num w:numId="14" w16cid:durableId="2043436824">
    <w:abstractNumId w:val="10"/>
  </w:num>
  <w:num w:numId="15" w16cid:durableId="39940391">
    <w:abstractNumId w:val="23"/>
  </w:num>
  <w:num w:numId="16" w16cid:durableId="724253420">
    <w:abstractNumId w:val="7"/>
  </w:num>
  <w:num w:numId="17" w16cid:durableId="1062947870">
    <w:abstractNumId w:val="24"/>
  </w:num>
  <w:num w:numId="18" w16cid:durableId="1245794904">
    <w:abstractNumId w:val="22"/>
  </w:num>
  <w:num w:numId="19" w16cid:durableId="1189830615">
    <w:abstractNumId w:val="6"/>
  </w:num>
  <w:num w:numId="20" w16cid:durableId="952131855">
    <w:abstractNumId w:val="18"/>
  </w:num>
  <w:num w:numId="21" w16cid:durableId="814444195">
    <w:abstractNumId w:val="11"/>
  </w:num>
  <w:num w:numId="22" w16cid:durableId="1440563195">
    <w:abstractNumId w:val="19"/>
  </w:num>
  <w:num w:numId="23" w16cid:durableId="1875851713">
    <w:abstractNumId w:val="5"/>
  </w:num>
  <w:num w:numId="24" w16cid:durableId="195430670">
    <w:abstractNumId w:val="1"/>
  </w:num>
  <w:num w:numId="25" w16cid:durableId="1477382290">
    <w:abstractNumId w:val="21"/>
  </w:num>
  <w:num w:numId="26" w16cid:durableId="461847612">
    <w:abstractNumId w:val="12"/>
  </w:num>
  <w:num w:numId="27" w16cid:durableId="828906353">
    <w:abstractNumId w:val="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0566CC"/>
    <w:rsid w:val="000566CC"/>
    <w:rsid w:val="002177CF"/>
    <w:rsid w:val="00371694"/>
    <w:rsid w:val="0043674F"/>
    <w:rsid w:val="00A815D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7"/>
    <o:shapelayout v:ext="edit">
      <o:idmap v:ext="edit" data="1"/>
      <o:rules v:ext="edit">
        <o:r id="V:Rule19" type="connector" idref="#Shape19"/>
        <o:r id="V:Rule20" type="connector" idref="#Shape17"/>
        <o:r id="V:Rule21" type="connector" idref="#Shape18"/>
        <o:r id="V:Rule22" type="connector" idref="#Shape13"/>
        <o:r id="V:Rule23" type="connector" idref="#Shape1"/>
        <o:r id="V:Rule24" type="connector" idref="#Shape14"/>
        <o:r id="V:Rule25" type="connector" idref="#Shape16"/>
        <o:r id="V:Rule26" type="connector" idref="#Shape15"/>
        <o:r id="V:Rule27" type="connector" idref="#Shape10"/>
        <o:r id="V:Rule28" type="connector" idref="#Shape9"/>
        <o:r id="V:Rule29" type="connector" idref="#Shape7"/>
        <o:r id="V:Rule30" type="connector" idref="#Shape8"/>
        <o:r id="V:Rule31" type="connector" idref="#Shape2"/>
        <o:r id="V:Rule32" type="connector" idref="#Shape12"/>
        <o:r id="V:Rule33" type="connector" idref="#Shape4"/>
        <o:r id="V:Rule34" type="connector" idref="#Shape11"/>
        <o:r id="V:Rule35" type="connector" idref="#Shape6"/>
        <o:r id="V:Rule36" type="connector" idref="#Shape5"/>
      </o:rules>
    </o:shapelayout>
  </w:shapeDefaults>
  <w:decimalSymbol w:val="."/>
  <w:listSeparator w:val=","/>
  <w14:docId w14:val="25DFDAD0"/>
  <w15:docId w15:val="{F4978FB7-588D-4057-A12B-27D497506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eastAsia="Calibri"/>
      <w:sz w:val="18"/>
      <w:szCs w:val="22"/>
      <w:lang w:eastAsia="en-US"/>
    </w:rPr>
  </w:style>
  <w:style w:type="paragraph" w:styleId="Heading1">
    <w:name w:val="heading 1"/>
    <w:next w:val="BodyText"/>
    <w:link w:val="Heading1Char"/>
    <w:uiPriority w:val="9"/>
    <w:qFormat/>
    <w:pPr>
      <w:keepNext/>
      <w:keepLines/>
      <w:numPr>
        <w:numId w:val="1"/>
      </w:numPr>
      <w:spacing w:before="240" w:after="200" w:line="240" w:lineRule="atLeast"/>
      <w:outlineLvl w:val="0"/>
    </w:pPr>
    <w:rPr>
      <w:rFonts w:eastAsia="Calibri"/>
      <w:b/>
      <w:bCs/>
      <w:caps/>
      <w:color w:val="00558C"/>
      <w:sz w:val="28"/>
      <w:szCs w:val="24"/>
      <w:lang w:eastAsia="en-US"/>
    </w:rPr>
  </w:style>
  <w:style w:type="paragraph" w:styleId="Heading2">
    <w:name w:val="heading 2"/>
    <w:basedOn w:val="Heading1"/>
    <w:next w:val="BodyText"/>
    <w:link w:val="Heading2Char"/>
    <w:uiPriority w:val="9"/>
    <w:unhideWhenUsed/>
    <w:qFormat/>
    <w:pPr>
      <w:numPr>
        <w:ilvl w:val="1"/>
      </w:numPr>
      <w:ind w:left="0" w:right="709" w:firstLine="0"/>
      <w:outlineLvl w:val="1"/>
    </w:pPr>
    <w:rPr>
      <w:bCs w:val="0"/>
      <w:sz w:val="24"/>
    </w:rPr>
  </w:style>
  <w:style w:type="paragraph" w:styleId="Heading3">
    <w:name w:val="heading 3"/>
    <w:basedOn w:val="Heading2"/>
    <w:next w:val="BodyText"/>
    <w:link w:val="Heading3Char"/>
    <w:uiPriority w:val="9"/>
    <w:unhideWhenUsed/>
    <w:qFormat/>
    <w:pPr>
      <w:numPr>
        <w:ilvl w:val="2"/>
      </w:numPr>
      <w:spacing w:before="120" w:after="120"/>
      <w:ind w:left="0" w:right="851" w:firstLine="0"/>
      <w:outlineLvl w:val="2"/>
    </w:pPr>
    <w:rPr>
      <w:bCs/>
      <w:smallCaps/>
    </w:rPr>
  </w:style>
  <w:style w:type="paragraph" w:styleId="Heading4">
    <w:name w:val="heading 4"/>
    <w:basedOn w:val="Heading3"/>
    <w:next w:val="BodyText"/>
    <w:link w:val="Heading4Char"/>
    <w:uiPriority w:val="9"/>
    <w:semiHidden/>
    <w:unhideWhenUsed/>
    <w:qFormat/>
    <w:pPr>
      <w:numPr>
        <w:ilvl w:val="3"/>
      </w:numPr>
      <w:ind w:left="0" w:right="992" w:firstLine="0"/>
      <w:outlineLvl w:val="3"/>
    </w:pPr>
    <w:rPr>
      <w:bCs w:val="0"/>
      <w:iCs/>
      <w:caps w:val="0"/>
      <w:smallCaps w:val="0"/>
      <w:sz w:val="22"/>
    </w:rPr>
  </w:style>
  <w:style w:type="paragraph" w:styleId="Heading5">
    <w:name w:val="heading 5"/>
    <w:basedOn w:val="Heading4"/>
    <w:next w:val="Normal"/>
    <w:link w:val="Heading5Char"/>
    <w:uiPriority w:val="9"/>
    <w:semiHidden/>
    <w:unhideWhenUsed/>
    <w:qFormat/>
    <w:pPr>
      <w:numPr>
        <w:ilvl w:val="4"/>
      </w:numPr>
      <w:spacing w:before="200"/>
      <w:ind w:left="1701" w:hanging="1701"/>
      <w:outlineLvl w:val="4"/>
    </w:pPr>
    <w:rPr>
      <w:b w:val="0"/>
    </w:rPr>
  </w:style>
  <w:style w:type="paragraph" w:styleId="Heading6">
    <w:name w:val="heading 6"/>
    <w:basedOn w:val="Normal"/>
    <w:next w:val="Normal"/>
    <w:link w:val="Heading6Char"/>
    <w:uiPriority w:val="9"/>
    <w:semiHidden/>
    <w:unhideWhenUsed/>
    <w:qFormat/>
    <w:pPr>
      <w:keepNext/>
      <w:keepLines/>
      <w:spacing w:before="200"/>
      <w:outlineLvl w:val="5"/>
    </w:pPr>
    <w:rPr>
      <w:rFonts w:ascii="Cambria" w:hAnsi="Cambria"/>
      <w:i/>
      <w:iCs/>
      <w:color w:val="243F60"/>
    </w:rPr>
  </w:style>
  <w:style w:type="paragraph" w:styleId="Heading7">
    <w:name w:val="heading 7"/>
    <w:basedOn w:val="Normal"/>
    <w:next w:val="Normal"/>
    <w:link w:val="Heading7Char"/>
    <w:qFormat/>
    <w:pPr>
      <w:keepNext/>
      <w:keepLines/>
      <w:spacing w:before="200"/>
      <w:outlineLvl w:val="6"/>
    </w:pPr>
    <w:rPr>
      <w:rFonts w:ascii="Cambria" w:hAnsi="Cambria"/>
      <w:i/>
      <w:iCs/>
      <w:color w:val="404040"/>
    </w:rPr>
  </w:style>
  <w:style w:type="paragraph" w:styleId="Heading8">
    <w:name w:val="heading 8"/>
    <w:basedOn w:val="Normal"/>
    <w:next w:val="Normal"/>
    <w:link w:val="Heading8Char"/>
    <w:qFormat/>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qFormat/>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Pr>
      <w:rFonts w:eastAsia="Calibri" w:cs="Times New Roman"/>
      <w:b/>
      <w:bCs/>
      <w:caps/>
      <w:color w:val="00558C"/>
      <w:sz w:val="28"/>
      <w:szCs w:val="24"/>
      <w:lang w:eastAsia="en-US"/>
    </w:rPr>
  </w:style>
  <w:style w:type="character" w:customStyle="1" w:styleId="Heading2Char">
    <w:name w:val="Heading 2 Char"/>
    <w:basedOn w:val="DefaultParagraphFont"/>
    <w:link w:val="Heading2"/>
    <w:qFormat/>
    <w:rPr>
      <w:rFonts w:ascii="Cambria" w:eastAsia="Calibri" w:hAnsi="Cambria" w:cs="Times New Roman"/>
      <w:b/>
      <w:caps/>
      <w:color w:val="00558C"/>
      <w:sz w:val="24"/>
      <w:szCs w:val="24"/>
      <w:lang w:eastAsia="en-US"/>
    </w:rPr>
  </w:style>
  <w:style w:type="character" w:customStyle="1" w:styleId="BodyTextChar">
    <w:name w:val="Body Text Char"/>
    <w:basedOn w:val="DefaultParagraphFont"/>
    <w:link w:val="BodyText"/>
    <w:qFormat/>
    <w:rPr>
      <w:rFonts w:ascii="Calibri" w:eastAsia="Calibri" w:hAnsi="Calibri" w:cs="Times New Roman"/>
      <w:sz w:val="22"/>
      <w:szCs w:val="22"/>
      <w:lang w:eastAsia="en-US"/>
    </w:rPr>
  </w:style>
  <w:style w:type="character" w:customStyle="1" w:styleId="FooterChar">
    <w:name w:val="Footer Char"/>
    <w:basedOn w:val="DefaultParagraphFont"/>
    <w:link w:val="Footer"/>
    <w:qFormat/>
    <w:rPr>
      <w:rFonts w:ascii="Calibri" w:eastAsia="Calibri" w:hAnsi="Calibri" w:cs="Times New Roman"/>
      <w:szCs w:val="22"/>
      <w:lang w:eastAsia="en-US"/>
    </w:rPr>
  </w:style>
  <w:style w:type="character" w:customStyle="1" w:styleId="HeaderChar">
    <w:name w:val="Header Char"/>
    <w:basedOn w:val="DefaultParagraphFont"/>
    <w:link w:val="Header"/>
    <w:qFormat/>
    <w:rPr>
      <w:rFonts w:ascii="Calibri" w:eastAsia="Calibri" w:hAnsi="Calibri" w:cs="Times New Roman"/>
      <w:szCs w:val="22"/>
      <w:lang w:eastAsia="en-US"/>
    </w:rPr>
  </w:style>
  <w:style w:type="character" w:customStyle="1" w:styleId="Heading3Char">
    <w:name w:val="Heading 3 Char"/>
    <w:basedOn w:val="DefaultParagraphFont"/>
    <w:link w:val="Heading3"/>
    <w:qFormat/>
    <w:rPr>
      <w:rFonts w:ascii="Cambria" w:eastAsia="Calibri" w:hAnsi="Cambria" w:cs="Times New Roman"/>
      <w:b/>
      <w:bCs/>
      <w:smallCaps/>
      <w:color w:val="00558C"/>
      <w:sz w:val="24"/>
      <w:szCs w:val="24"/>
      <w:lang w:eastAsia="en-US"/>
    </w:rPr>
  </w:style>
  <w:style w:type="character" w:customStyle="1" w:styleId="Heading4Char">
    <w:name w:val="Heading 4 Char"/>
    <w:basedOn w:val="DefaultParagraphFont"/>
    <w:link w:val="Heading4"/>
    <w:qFormat/>
    <w:rPr>
      <w:rFonts w:ascii="Cambria" w:eastAsia="Calibri" w:hAnsi="Cambria" w:cs="Times New Roman"/>
      <w:b/>
      <w:iCs/>
      <w:color w:val="00558C"/>
      <w:sz w:val="22"/>
      <w:szCs w:val="24"/>
      <w:lang w:eastAsia="en-US"/>
    </w:rPr>
  </w:style>
  <w:style w:type="character" w:customStyle="1" w:styleId="Heading5Char">
    <w:name w:val="Heading 5 Char"/>
    <w:basedOn w:val="DefaultParagraphFont"/>
    <w:link w:val="Heading5"/>
    <w:qFormat/>
    <w:rPr>
      <w:rFonts w:ascii="Cambria" w:eastAsia="Calibri" w:hAnsi="Cambria" w:cs="Times New Roman"/>
      <w:iCs/>
      <w:color w:val="00558C"/>
      <w:sz w:val="22"/>
      <w:szCs w:val="24"/>
      <w:lang w:eastAsia="en-US"/>
    </w:rPr>
  </w:style>
  <w:style w:type="character" w:customStyle="1" w:styleId="Heading6Char">
    <w:name w:val="Heading 6 Char"/>
    <w:basedOn w:val="DefaultParagraphFont"/>
    <w:link w:val="Heading6"/>
    <w:qFormat/>
    <w:rPr>
      <w:rFonts w:ascii="Cambria" w:eastAsia="Calibri" w:hAnsi="Cambria" w:cs="Times New Roman"/>
      <w:i/>
      <w:iCs/>
      <w:color w:val="243F60"/>
      <w:sz w:val="18"/>
      <w:szCs w:val="22"/>
      <w:lang w:eastAsia="en-US"/>
    </w:rPr>
  </w:style>
  <w:style w:type="character" w:customStyle="1" w:styleId="Heading7Char">
    <w:name w:val="Heading 7 Char"/>
    <w:basedOn w:val="DefaultParagraphFont"/>
    <w:link w:val="Heading7"/>
    <w:qFormat/>
    <w:rPr>
      <w:rFonts w:ascii="Cambria" w:eastAsia="Calibri" w:hAnsi="Cambria" w:cs="Times New Roman"/>
      <w:i/>
      <w:iCs/>
      <w:color w:val="404040"/>
      <w:sz w:val="18"/>
      <w:szCs w:val="22"/>
      <w:lang w:eastAsia="en-US"/>
    </w:rPr>
  </w:style>
  <w:style w:type="character" w:customStyle="1" w:styleId="Heading8Char">
    <w:name w:val="Heading 8 Char"/>
    <w:basedOn w:val="DefaultParagraphFont"/>
    <w:link w:val="Heading8"/>
    <w:qFormat/>
    <w:rPr>
      <w:rFonts w:ascii="Cambria" w:eastAsia="Calibri" w:hAnsi="Cambria" w:cs="Times New Roman"/>
      <w:color w:val="404040"/>
      <w:lang w:eastAsia="en-US"/>
    </w:rPr>
  </w:style>
  <w:style w:type="character" w:customStyle="1" w:styleId="Heading9Char">
    <w:name w:val="Heading 9 Char"/>
    <w:basedOn w:val="DefaultParagraphFont"/>
    <w:link w:val="Heading9"/>
    <w:qFormat/>
    <w:rPr>
      <w:rFonts w:ascii="Cambria" w:eastAsia="Calibri" w:hAnsi="Cambria" w:cs="Times New Roman"/>
      <w:i/>
      <w:iCs/>
      <w:color w:val="404040"/>
      <w:lang w:eastAsia="en-US"/>
    </w:rPr>
  </w:style>
  <w:style w:type="character" w:styleId="Hyperlink">
    <w:name w:val="Hyperlink"/>
    <w:basedOn w:val="DefaultParagraphFont"/>
    <w:rPr>
      <w:color w:val="4F81BD"/>
      <w:u w:val="single"/>
    </w:rPr>
  </w:style>
  <w:style w:type="character" w:styleId="PageNumber">
    <w:name w:val="page number"/>
    <w:qFormat/>
    <w:rPr>
      <w:rFonts w:ascii="Calibri" w:hAnsi="Calibri"/>
      <w:sz w:val="15"/>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Characters">
    <w:name w:val="Footnote Characters"/>
    <w:qFormat/>
    <w:rPr>
      <w:rFonts w:ascii="Calibri" w:hAnsi="Calibri"/>
      <w:sz w:val="20"/>
      <w:vertAlign w:val="superscript"/>
    </w:rPr>
  </w:style>
  <w:style w:type="character" w:styleId="FootnoteReference">
    <w:name w:val="footnote reference"/>
    <w:rPr>
      <w:rFonts w:ascii="Calibri" w:hAnsi="Calibri"/>
      <w:sz w:val="20"/>
      <w:vertAlign w:val="superscript"/>
    </w:rPr>
  </w:style>
  <w:style w:type="character" w:customStyle="1" w:styleId="FootnoteTextChar">
    <w:name w:val="Footnote Text Char"/>
    <w:basedOn w:val="DefaultParagraphFont"/>
    <w:link w:val="FootnoteText"/>
    <w:qFormat/>
    <w:rPr>
      <w:rFonts w:ascii="Calibri" w:eastAsia="Calibri" w:hAnsi="Calibri" w:cs="Times New Roman"/>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
      <w:sz w:val="28"/>
      <w:szCs w:val="32"/>
    </w:rPr>
  </w:style>
  <w:style w:type="character" w:customStyle="1" w:styleId="BalloonTextChar">
    <w:name w:val="Balloon Text Char"/>
    <w:basedOn w:val="DefaultParagraphFont"/>
    <w:link w:val="BalloonText"/>
    <w:qFormat/>
    <w:rPr>
      <w:rFonts w:ascii="Tahoma" w:eastAsia="Calibri" w:hAnsi="Tahoma" w:cs="Tahoma"/>
      <w:sz w:val="16"/>
      <w:szCs w:val="16"/>
      <w:lang w:eastAsia="en-US"/>
    </w:rPr>
  </w:style>
  <w:style w:type="character" w:styleId="CommentReference">
    <w:name w:val="annotation reference"/>
    <w:basedOn w:val="DefaultParagraphFont"/>
    <w:qFormat/>
    <w:rPr>
      <w:sz w:val="18"/>
      <w:szCs w:val="18"/>
      <w:lang w:val="en-GB"/>
    </w:rPr>
  </w:style>
  <w:style w:type="character" w:customStyle="1" w:styleId="CommentTextChar">
    <w:name w:val="Comment Text Char"/>
    <w:basedOn w:val="DefaultParagraphFont"/>
    <w:link w:val="CommentText"/>
    <w:qFormat/>
    <w:rPr>
      <w:rFonts w:ascii="Calibri" w:eastAsia="Calibri" w:hAnsi="Calibri" w:cs="Times New Roman"/>
      <w:sz w:val="24"/>
      <w:szCs w:val="24"/>
      <w:lang w:eastAsia="en-US"/>
    </w:rPr>
  </w:style>
  <w:style w:type="character" w:customStyle="1" w:styleId="CommentSubjectChar">
    <w:name w:val="Comment Subject Char"/>
    <w:basedOn w:val="CommentTextChar"/>
    <w:link w:val="CommentSubject"/>
    <w:qFormat/>
    <w:rPr>
      <w:rFonts w:ascii="Calibri" w:eastAsia="Calibri" w:hAnsi="Calibri" w:cs="Times New Roman"/>
      <w:b/>
      <w:bCs/>
      <w:sz w:val="24"/>
      <w:szCs w:val="24"/>
      <w:lang w:eastAsia="en-US"/>
    </w:rPr>
  </w:style>
  <w:style w:type="character" w:customStyle="1" w:styleId="Bullet2Char">
    <w:name w:val="Bullet 2 Char"/>
    <w:basedOn w:val="DefaultParagraphFont"/>
    <w:link w:val="Bullet2"/>
    <w:qFormat/>
    <w:rPr>
      <w:rFonts w:ascii="Calibri" w:eastAsia="Calibri" w:hAnsi="Calibri" w:cs="Times New Roman"/>
      <w:color w:val="000000"/>
      <w:sz w:val="22"/>
      <w:szCs w:val="22"/>
      <w:lang w:eastAsia="en-US"/>
    </w:rPr>
  </w:style>
  <w:style w:type="character" w:customStyle="1" w:styleId="AnnexChar">
    <w:name w:val="Annex Char"/>
    <w:basedOn w:val="DefaultParagraphFont"/>
    <w:link w:val="Annex"/>
    <w:qFormat/>
    <w:rPr>
      <w:rFonts w:ascii="Calibri" w:eastAsia="Calibri" w:hAnsi="Calibri" w:cs="Times New Roman"/>
      <w:b/>
      <w:caps/>
      <w:color w:val="00558C"/>
      <w:sz w:val="28"/>
      <w:szCs w:val="22"/>
      <w:lang w:eastAsia="en-US"/>
    </w:rPr>
  </w:style>
  <w:style w:type="character" w:customStyle="1" w:styleId="BodyTextIndent3Char">
    <w:name w:val="Body Text Indent 3 Char"/>
    <w:basedOn w:val="DefaultParagraphFont"/>
    <w:link w:val="BodyTextIndent3"/>
    <w:qFormat/>
    <w:rPr>
      <w:rFonts w:ascii="Calibri" w:eastAsia="Calibri" w:hAnsi="Calibri" w:cs="Times New Roman"/>
      <w:sz w:val="16"/>
      <w:szCs w:val="16"/>
      <w:lang w:eastAsia="en-US"/>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character" w:styleId="FollowedHyperlink">
    <w:name w:val="FollowedHyperlink"/>
    <w:rPr>
      <w:color w:val="800080"/>
      <w:u w:val="single"/>
    </w:rPr>
  </w:style>
  <w:style w:type="character" w:styleId="Emphasis">
    <w:name w:val="Emphasis"/>
    <w:qFormat/>
    <w:rPr>
      <w:i/>
      <w:iCs/>
    </w:rPr>
  </w:style>
  <w:style w:type="character" w:styleId="HTMLCite">
    <w:name w:val="HTML Cite"/>
    <w:qFormat/>
    <w:rPr>
      <w:i/>
      <w:iCs/>
    </w:rPr>
  </w:style>
  <w:style w:type="character" w:customStyle="1" w:styleId="TextedesaisieCar">
    <w:name w:val="Texte de saisie Car"/>
    <w:basedOn w:val="DefaultParagraphFont"/>
    <w:link w:val="Textedesaisie"/>
    <w:qFormat/>
    <w:rPr>
      <w:rFonts w:ascii="Calibri" w:eastAsia="Calibri" w:hAnsi="Calibri" w:cs="Times New Roman"/>
      <w:color w:val="000000"/>
      <w:sz w:val="22"/>
      <w:szCs w:val="22"/>
      <w:lang w:eastAsia="en-US"/>
    </w:rPr>
  </w:style>
  <w:style w:type="character" w:styleId="PlaceholderText">
    <w:name w:val="Placeholder Text"/>
    <w:basedOn w:val="DefaultParagraphFont"/>
    <w:qFormat/>
    <w:rPr>
      <w:color w:val="808080"/>
    </w:rPr>
  </w:style>
  <w:style w:type="character" w:customStyle="1" w:styleId="MRNChar">
    <w:name w:val="MRN Char"/>
    <w:basedOn w:val="DefaultParagraphFont"/>
    <w:link w:val="MRN"/>
    <w:qFormat/>
    <w:rPr>
      <w:rFonts w:ascii="Calibri" w:eastAsia="Calibri" w:hAnsi="Calibri" w:cs="Times New Roman"/>
      <w:b/>
      <w:color w:val="00558C"/>
      <w:sz w:val="28"/>
      <w:szCs w:val="22"/>
      <w:lang w:eastAsia="en-US"/>
    </w:rPr>
  </w:style>
  <w:style w:type="character" w:customStyle="1" w:styleId="RevokesChar">
    <w:name w:val="Revokes Char"/>
    <w:basedOn w:val="DefaultParagraphFont"/>
    <w:link w:val="Revokes"/>
    <w:qFormat/>
    <w:rPr>
      <w:rFonts w:ascii="Calibri" w:eastAsia="Calibri" w:hAnsi="Calibri" w:cs="Times New Roman"/>
      <w:b/>
      <w:i/>
      <w:color w:val="00558C"/>
      <w:sz w:val="28"/>
      <w:szCs w:val="22"/>
      <w:lang w:eastAsia="en-US"/>
    </w:rPr>
  </w:style>
  <w:style w:type="character" w:customStyle="1" w:styleId="EquationChar">
    <w:name w:val="Equation Char"/>
    <w:basedOn w:val="BodyTextChar"/>
    <w:link w:val="Equation1"/>
    <w:qFormat/>
    <w:rPr>
      <w:rFonts w:ascii="Calibri" w:eastAsia="Calibri" w:hAnsi="Calibri" w:cs="Times New Roman"/>
      <w:sz w:val="22"/>
      <w:szCs w:val="22"/>
      <w:lang w:eastAsia="en-US"/>
    </w:rPr>
  </w:style>
  <w:style w:type="character" w:customStyle="1" w:styleId="FurtherreadingChar">
    <w:name w:val="Further reading Char"/>
    <w:basedOn w:val="BodyTextChar"/>
    <w:link w:val="Furtherreading"/>
    <w:qFormat/>
    <w:rPr>
      <w:rFonts w:ascii="Calibri" w:eastAsia="Calibri" w:hAnsi="Calibri" w:cs="Times New Roman"/>
      <w:sz w:val="22"/>
      <w:szCs w:val="22"/>
      <w:lang w:eastAsia="en-US"/>
    </w:rPr>
  </w:style>
  <w:style w:type="character" w:customStyle="1" w:styleId="AnnexFigureCaptionChar">
    <w:name w:val="Annex Figure Caption Char"/>
    <w:basedOn w:val="BodyTextChar"/>
    <w:link w:val="AnnexFigureCaption"/>
    <w:qFormat/>
    <w:rPr>
      <w:rFonts w:ascii="Calibri" w:eastAsia="Calibri" w:hAnsi="Calibri" w:cs="Times New Roman"/>
      <w:i/>
      <w:color w:val="00558C"/>
      <w:sz w:val="22"/>
      <w:szCs w:val="22"/>
      <w:lang w:eastAsia="en-US"/>
    </w:rPr>
  </w:style>
  <w:style w:type="character" w:customStyle="1" w:styleId="EmphasisParagraphChar">
    <w:name w:val="Emphasis Paragraph Char"/>
    <w:basedOn w:val="BodyTextChar"/>
    <w:link w:val="EmphasisParagraph"/>
    <w:qFormat/>
    <w:rPr>
      <w:rFonts w:ascii="Calibri" w:eastAsia="Calibri" w:hAnsi="Calibri" w:cs="Times New Roman"/>
      <w:i/>
      <w:sz w:val="22"/>
      <w:szCs w:val="22"/>
      <w:lang w:eastAsia="en-US"/>
    </w:rPr>
  </w:style>
  <w:style w:type="character" w:customStyle="1" w:styleId="QuotationparagraphChar">
    <w:name w:val="Quotation paragraph Char"/>
    <w:basedOn w:val="BodyTextChar"/>
    <w:link w:val="Quotationparagraph"/>
    <w:qFormat/>
    <w:rPr>
      <w:rFonts w:ascii="Calibri" w:eastAsia="Calibri" w:hAnsi="Calibri" w:cs="Times New Roman"/>
      <w:sz w:val="22"/>
      <w:szCs w:val="22"/>
      <w:lang w:eastAsia="en-US"/>
    </w:rPr>
  </w:style>
  <w:style w:type="character" w:customStyle="1" w:styleId="NumberingSymbols">
    <w:name w:val="Numbering Symbols"/>
    <w:qFormat/>
  </w:style>
  <w:style w:type="character" w:customStyle="1" w:styleId="EndnoteCharacters">
    <w:name w:val="Endnote Characters"/>
    <w:qFormat/>
    <w:rPr>
      <w:vertAlign w:val="superscript"/>
    </w:rPr>
  </w:style>
  <w:style w:type="character" w:styleId="EndnoteReference">
    <w:name w:val="endnote reference"/>
    <w:rPr>
      <w:vertAlign w:val="superscript"/>
    </w:rPr>
  </w:style>
  <w:style w:type="character" w:customStyle="1" w:styleId="Bullets">
    <w:name w:val="Bullets"/>
    <w:qFormat/>
    <w:rPr>
      <w:rFonts w:ascii="OpenSymbol" w:eastAsia="OpenSymbol" w:hAnsi="OpenSymbol" w:cs="OpenSymbol"/>
    </w:rPr>
  </w:style>
  <w:style w:type="character" w:styleId="LineNumber">
    <w:name w:val="line number"/>
  </w:style>
  <w:style w:type="paragraph" w:customStyle="1" w:styleId="Heading">
    <w:name w:val="Heading"/>
    <w:basedOn w:val="Normal"/>
    <w:next w:val="BodyText"/>
    <w:qFormat/>
    <w:pPr>
      <w:keepNext/>
      <w:spacing w:before="240" w:after="120"/>
    </w:pPr>
    <w:rPr>
      <w:rFonts w:ascii="Liberation Sans" w:eastAsia="Arial Unicode MS" w:hAnsi="Liberation Sans" w:cs="Arial Unicode MS"/>
      <w:sz w:val="28"/>
      <w:szCs w:val="28"/>
    </w:rPr>
  </w:style>
  <w:style w:type="paragraph" w:styleId="BodyText">
    <w:name w:val="Body Text"/>
    <w:basedOn w:val="Normal"/>
    <w:link w:val="BodyTextChar"/>
    <w:pPr>
      <w:spacing w:after="120"/>
      <w:jc w:val="both"/>
    </w:pPr>
    <w:rPr>
      <w:sz w:val="22"/>
    </w:rPr>
  </w:style>
  <w:style w:type="paragraph" w:styleId="List">
    <w:name w:val="List"/>
    <w:basedOn w:val="Normal"/>
    <w:pPr>
      <w:ind w:left="360" w:hanging="360"/>
      <w:contextualSpacing/>
    </w:pPr>
    <w:rPr>
      <w:sz w:val="22"/>
    </w:rPr>
  </w:style>
  <w:style w:type="paragraph" w:styleId="Caption">
    <w:name w:val="caption"/>
    <w:basedOn w:val="Normal"/>
    <w:next w:val="Normal"/>
    <w:qFormat/>
    <w:rPr>
      <w:b/>
      <w:bCs/>
      <w:i/>
      <w:color w:val="575756"/>
      <w:sz w:val="22"/>
      <w:u w:val="single"/>
    </w:rPr>
  </w:style>
  <w:style w:type="paragraph" w:customStyle="1" w:styleId="Index">
    <w:name w:val="Index"/>
    <w:basedOn w:val="Normal"/>
    <w:qFormat/>
    <w:pPr>
      <w:suppressLineNumbers/>
    </w:pPr>
    <w:rPr>
      <w:rFonts w:cs="Arial Unicode MS"/>
    </w:rPr>
  </w:style>
  <w:style w:type="paragraph" w:customStyle="1" w:styleId="Annex">
    <w:name w:val="Annex"/>
    <w:next w:val="BodyText"/>
    <w:link w:val="AnnexChar"/>
    <w:qFormat/>
    <w:pPr>
      <w:numPr>
        <w:numId w:val="13"/>
      </w:numPr>
      <w:spacing w:after="360" w:line="276" w:lineRule="auto"/>
    </w:pPr>
    <w:rPr>
      <w:rFonts w:eastAsia="Calibri"/>
      <w:b/>
      <w:caps/>
      <w:color w:val="00558C"/>
      <w:sz w:val="28"/>
      <w:szCs w:val="22"/>
      <w:lang w:eastAsia="en-US"/>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cs="Arial"/>
      <w:b/>
      <w:caps/>
      <w:sz w:val="24"/>
    </w:rPr>
  </w:style>
  <w:style w:type="paragraph" w:customStyle="1" w:styleId="AnnexHeading2">
    <w:name w:val="Annex Heading 2"/>
    <w:basedOn w:val="Normal"/>
    <w:next w:val="BodyText"/>
    <w:qFormat/>
    <w:pPr>
      <w:numPr>
        <w:ilvl w:val="1"/>
        <w:numId w:val="4"/>
      </w:numPr>
      <w:spacing w:before="120" w:after="120"/>
    </w:pPr>
    <w:rPr>
      <w:rFonts w:cs="Arial"/>
      <w:b/>
    </w:rPr>
  </w:style>
  <w:style w:type="paragraph" w:customStyle="1" w:styleId="AnnexHeading3">
    <w:name w:val="Annex Heading 3"/>
    <w:basedOn w:val="Normal"/>
    <w:next w:val="Normal"/>
    <w:qFormat/>
    <w:pPr>
      <w:numPr>
        <w:ilvl w:val="2"/>
        <w:numId w:val="4"/>
      </w:numPr>
      <w:spacing w:before="120" w:after="120"/>
    </w:pPr>
    <w:rPr>
      <w:rFonts w:cs="Arial"/>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paragraph" w:customStyle="1" w:styleId="Bullet1">
    <w:name w:val="Bullet 1"/>
    <w:basedOn w:val="Normal"/>
    <w:qFormat/>
    <w:pPr>
      <w:numPr>
        <w:numId w:val="11"/>
      </w:numPr>
      <w:spacing w:after="120"/>
      <w:ind w:left="992" w:hanging="425"/>
    </w:pPr>
    <w:rPr>
      <w:color w:val="000000"/>
      <w:sz w:val="22"/>
    </w:rPr>
  </w:style>
  <w:style w:type="paragraph" w:customStyle="1" w:styleId="Bullet1text">
    <w:name w:val="Bullet 1 text"/>
    <w:basedOn w:val="Normal"/>
    <w:qFormat/>
    <w:pPr>
      <w:spacing w:after="120" w:line="240" w:lineRule="auto"/>
      <w:ind w:left="992"/>
      <w:jc w:val="both"/>
    </w:pPr>
    <w:rPr>
      <w:rFonts w:eastAsia="Times New Roman"/>
      <w:sz w:val="22"/>
      <w:szCs w:val="20"/>
      <w:lang w:eastAsia="en-GB"/>
    </w:rPr>
  </w:style>
  <w:style w:type="paragraph" w:customStyle="1" w:styleId="Bullet2">
    <w:name w:val="Bullet 2"/>
    <w:basedOn w:val="Normal"/>
    <w:link w:val="Bullet2Char"/>
    <w:qFormat/>
    <w:pPr>
      <w:numPr>
        <w:numId w:val="12"/>
      </w:numPr>
      <w:spacing w:after="120"/>
      <w:ind w:left="1276" w:hanging="425"/>
    </w:pPr>
    <w:rPr>
      <w:color w:val="000000"/>
      <w:sz w:val="22"/>
    </w:rPr>
  </w:style>
  <w:style w:type="paragraph" w:customStyle="1" w:styleId="Bullet2text">
    <w:name w:val="Bullet 2 text"/>
    <w:basedOn w:val="Normal"/>
    <w:qFormat/>
    <w:pPr>
      <w:spacing w:after="120" w:line="240" w:lineRule="auto"/>
      <w:ind w:left="1701" w:hanging="425"/>
      <w:jc w:val="both"/>
    </w:pPr>
    <w:rPr>
      <w:rFonts w:eastAsia="Times New Roman"/>
      <w:sz w:val="22"/>
      <w:szCs w:val="20"/>
      <w:lang w:eastAsia="en-GB"/>
    </w:rPr>
  </w:style>
  <w:style w:type="paragraph" w:customStyle="1" w:styleId="Bullet3">
    <w:name w:val="Bullet 3"/>
    <w:basedOn w:val="Normal"/>
    <w:qFormat/>
    <w:pPr>
      <w:numPr>
        <w:numId w:val="18"/>
      </w:numPr>
      <w:spacing w:after="120" w:line="240" w:lineRule="auto"/>
      <w:ind w:left="1701" w:hanging="425"/>
    </w:pPr>
    <w:rPr>
      <w:rFonts w:eastAsia="Times New Roman"/>
      <w:sz w:val="20"/>
      <w:szCs w:val="20"/>
      <w:lang w:eastAsia="en-GB"/>
    </w:rPr>
  </w:style>
  <w:style w:type="paragraph" w:customStyle="1" w:styleId="Bullet3text">
    <w:name w:val="Bullet 3 text"/>
    <w:basedOn w:val="Normal"/>
    <w:qFormat/>
    <w:pPr>
      <w:spacing w:after="120" w:line="240" w:lineRule="auto"/>
      <w:ind w:left="1701"/>
    </w:pPr>
    <w:rPr>
      <w:rFonts w:eastAsia="Times New Roman"/>
      <w:sz w:val="20"/>
      <w:szCs w:val="20"/>
      <w:lang w:eastAsia="en-GB"/>
    </w:rPr>
  </w:style>
  <w:style w:type="paragraph" w:customStyle="1" w:styleId="Figure">
    <w:name w:val="Figure_#"/>
    <w:basedOn w:val="Normal"/>
    <w:next w:val="Normal"/>
    <w:qFormat/>
    <w:pPr>
      <w:numPr>
        <w:numId w:val="7"/>
      </w:numPr>
      <w:spacing w:before="120" w:after="120"/>
      <w:jc w:val="center"/>
    </w:pPr>
    <w:rPr>
      <w:i/>
      <w:szCs w:val="20"/>
    </w:rPr>
  </w:style>
  <w:style w:type="paragraph" w:customStyle="1" w:styleId="HeaderandFooter">
    <w:name w:val="Header and Footer"/>
    <w:basedOn w:val="Normal"/>
    <w:qFormat/>
  </w:style>
  <w:style w:type="paragraph" w:styleId="Footer">
    <w:name w:val="footer"/>
    <w:link w:val="FooterChar"/>
    <w:pPr>
      <w:spacing w:line="240" w:lineRule="exact"/>
    </w:pPr>
    <w:rPr>
      <w:rFonts w:eastAsia="Calibri"/>
      <w:szCs w:val="22"/>
      <w:lang w:eastAsia="en-US"/>
    </w:rPr>
  </w:style>
  <w:style w:type="paragraph" w:styleId="Header">
    <w:name w:val="header"/>
    <w:link w:val="HeaderChar"/>
    <w:pPr>
      <w:spacing w:line="240" w:lineRule="exact"/>
    </w:pPr>
    <w:rPr>
      <w:rFonts w:eastAsia="Calibri"/>
      <w:szCs w:val="22"/>
      <w:lang w:eastAsia="en-US"/>
    </w:rPr>
  </w:style>
  <w:style w:type="paragraph" w:styleId="List2">
    <w:name w:val="List 2"/>
    <w:basedOn w:val="Normal"/>
    <w:qFormat/>
    <w:pPr>
      <w:numPr>
        <w:numId w:val="10"/>
      </w:numPr>
      <w:spacing w:after="120" w:line="240" w:lineRule="auto"/>
      <w:jc w:val="both"/>
    </w:pPr>
    <w:rPr>
      <w:rFonts w:eastAsia="Times New Roman"/>
      <w:sz w:val="22"/>
      <w:szCs w:val="20"/>
      <w:lang w:eastAsia="en-GB"/>
    </w:rPr>
  </w:style>
  <w:style w:type="paragraph" w:customStyle="1" w:styleId="List1indent2">
    <w:name w:val="List 1 indent 2"/>
    <w:basedOn w:val="Normal"/>
    <w:qFormat/>
    <w:pPr>
      <w:widowControl w:val="0"/>
      <w:numPr>
        <w:ilvl w:val="2"/>
        <w:numId w:val="10"/>
      </w:numPr>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sz w:val="22"/>
      <w:szCs w:val="20"/>
      <w:lang w:eastAsia="en-GB"/>
    </w:rPr>
  </w:style>
  <w:style w:type="paragraph" w:styleId="TableofFigures">
    <w:name w:val="table of figures"/>
    <w:basedOn w:val="Normal"/>
    <w:next w:val="Normal"/>
    <w:qFormat/>
    <w:pPr>
      <w:tabs>
        <w:tab w:val="right" w:leader="dot" w:pos="9781"/>
      </w:tabs>
      <w:spacing w:after="60"/>
      <w:ind w:left="1276" w:right="425" w:hanging="1276"/>
    </w:pPr>
    <w:rPr>
      <w:i/>
      <w:color w:val="00558C"/>
      <w:sz w:val="22"/>
    </w:rPr>
  </w:style>
  <w:style w:type="paragraph" w:customStyle="1" w:styleId="Table">
    <w:name w:val="Table_#"/>
    <w:basedOn w:val="Normal"/>
    <w:next w:val="Normal"/>
    <w:qFormat/>
    <w:pPr>
      <w:numPr>
        <w:numId w:val="9"/>
      </w:numPr>
      <w:spacing w:before="120" w:after="120"/>
      <w:jc w:val="center"/>
    </w:pPr>
    <w:rPr>
      <w:i/>
      <w:szCs w:val="20"/>
    </w:rPr>
  </w:style>
  <w:style w:type="paragraph" w:styleId="TOC1">
    <w:name w:val="toc 1"/>
    <w:basedOn w:val="Normal"/>
    <w:next w:val="Normal"/>
    <w:pPr>
      <w:tabs>
        <w:tab w:val="right" w:leader="dot" w:pos="9781"/>
      </w:tabs>
      <w:spacing w:after="40" w:line="300" w:lineRule="atLeast"/>
      <w:ind w:left="425" w:right="425" w:hanging="425"/>
    </w:pPr>
    <w:rPr>
      <w:b/>
      <w:caps/>
      <w:color w:val="4F81BD"/>
      <w:sz w:val="22"/>
    </w:rPr>
  </w:style>
  <w:style w:type="paragraph" w:styleId="TOC2">
    <w:name w:val="toc 2"/>
    <w:basedOn w:val="Normal"/>
    <w:next w:val="Normal"/>
    <w:autoRedefine/>
    <w:pPr>
      <w:tabs>
        <w:tab w:val="right" w:leader="dot" w:pos="9781"/>
      </w:tabs>
      <w:spacing w:after="40" w:line="300" w:lineRule="atLeast"/>
      <w:ind w:left="709" w:right="425" w:hanging="709"/>
    </w:pPr>
    <w:rPr>
      <w:color w:val="4F81BD"/>
      <w:sz w:val="22"/>
    </w:rPr>
  </w:style>
  <w:style w:type="paragraph" w:styleId="TOC3">
    <w:name w:val="toc 3"/>
    <w:basedOn w:val="Normal"/>
    <w:next w:val="Normal"/>
    <w:pPr>
      <w:tabs>
        <w:tab w:val="right" w:leader="dot" w:pos="9781"/>
      </w:tabs>
      <w:spacing w:after="60"/>
      <w:ind w:left="1134" w:hanging="709"/>
    </w:pPr>
    <w:rPr>
      <w:color w:val="00558C"/>
    </w:rPr>
  </w:style>
  <w:style w:type="paragraph" w:styleId="TOC4">
    <w:name w:val="toc 4"/>
    <w:basedOn w:val="Normal"/>
    <w:next w:val="Normal"/>
    <w:autoRedefine/>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pPr>
      <w:tabs>
        <w:tab w:val="right" w:leader="dot" w:pos="9781"/>
        <w:tab w:val="right" w:leader="dot" w:pos="10206"/>
      </w:tabs>
      <w:spacing w:before="60" w:after="60" w:line="240" w:lineRule="auto"/>
      <w:ind w:left="1418" w:right="425" w:hanging="1418"/>
    </w:pPr>
    <w:rPr>
      <w:rFonts w:eastAsia="Times New Roman"/>
      <w:b/>
      <w:caps/>
      <w:color w:val="00558C"/>
      <w:sz w:val="22"/>
      <w:szCs w:val="20"/>
    </w:rPr>
  </w:style>
  <w:style w:type="paragraph" w:styleId="TOC6">
    <w:name w:val="toc 6"/>
    <w:basedOn w:val="Normal"/>
    <w:next w:val="Normal"/>
    <w:autoRedefine/>
    <w:pPr>
      <w:spacing w:line="240" w:lineRule="auto"/>
      <w:ind w:left="960"/>
    </w:pPr>
    <w:rPr>
      <w:rFonts w:ascii="Arial" w:eastAsia="Times New Roman" w:hAnsi="Arial"/>
      <w:sz w:val="20"/>
      <w:szCs w:val="20"/>
    </w:rPr>
  </w:style>
  <w:style w:type="paragraph" w:styleId="TOC7">
    <w:name w:val="toc 7"/>
    <w:basedOn w:val="Normal"/>
    <w:next w:val="Normal"/>
    <w:autoRedefine/>
    <w:pPr>
      <w:spacing w:line="240" w:lineRule="auto"/>
      <w:ind w:left="1200"/>
    </w:pPr>
    <w:rPr>
      <w:rFonts w:ascii="Arial" w:eastAsia="Times New Roman" w:hAnsi="Arial"/>
      <w:sz w:val="20"/>
      <w:szCs w:val="20"/>
    </w:rPr>
  </w:style>
  <w:style w:type="paragraph" w:styleId="TOC8">
    <w:name w:val="toc 8"/>
    <w:basedOn w:val="Normal"/>
    <w:next w:val="Normal"/>
    <w:autoRedefine/>
    <w:pPr>
      <w:spacing w:line="240" w:lineRule="auto"/>
      <w:ind w:left="1440"/>
    </w:pPr>
    <w:rPr>
      <w:rFonts w:ascii="Arial" w:eastAsia="Times New Roman" w:hAnsi="Arial"/>
      <w:sz w:val="20"/>
      <w:szCs w:val="20"/>
    </w:rPr>
  </w:style>
  <w:style w:type="paragraph" w:styleId="TOC9">
    <w:name w:val="toc 9"/>
    <w:basedOn w:val="Normal"/>
    <w:next w:val="Normal"/>
    <w:autoRedefine/>
    <w:pPr>
      <w:spacing w:line="240" w:lineRule="auto"/>
      <w:ind w:left="1680"/>
    </w:pPr>
    <w:rPr>
      <w:rFonts w:ascii="Arial" w:eastAsia="Times New Roman" w:hAnsi="Arial"/>
      <w:sz w:val="20"/>
      <w:szCs w:val="20"/>
    </w:rPr>
  </w:style>
  <w:style w:type="paragraph" w:styleId="BodyTextIndent">
    <w:name w:val="Body Text Indent"/>
    <w:basedOn w:val="Normal"/>
    <w:link w:val="BodyTextIndentChar"/>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FootnoteText">
    <w:name w:val="footnote text"/>
    <w:basedOn w:val="Normal"/>
    <w:link w:val="FootnoteTextChar"/>
    <w:pPr>
      <w:tabs>
        <w:tab w:val="left" w:pos="425"/>
      </w:tabs>
      <w:spacing w:line="240" w:lineRule="auto"/>
      <w:ind w:left="425" w:hanging="425"/>
    </w:pPr>
    <w:rPr>
      <w:szCs w:val="24"/>
      <w:vertAlign w:val="superscript"/>
    </w:rPr>
  </w:style>
  <w:style w:type="paragraph" w:styleId="Subtitle">
    <w:name w:val="Subtitle"/>
    <w:basedOn w:val="Normal"/>
    <w:link w:val="SubtitleChar"/>
    <w:uiPriority w:val="11"/>
    <w:qFormat/>
    <w:pPr>
      <w:spacing w:after="60"/>
      <w:jc w:val="center"/>
      <w:outlineLvl w:val="1"/>
    </w:pPr>
    <w:rPr>
      <w:rFonts w:cs="Arial"/>
    </w:rPr>
  </w:style>
  <w:style w:type="paragraph" w:styleId="Title">
    <w:name w:val="Title"/>
    <w:basedOn w:val="Normal"/>
    <w:link w:val="TitleChar"/>
    <w:uiPriority w:val="10"/>
    <w:qFormat/>
    <w:pPr>
      <w:spacing w:before="180" w:after="240" w:line="240" w:lineRule="auto"/>
      <w:jc w:val="center"/>
      <w:outlineLvl w:val="0"/>
    </w:pPr>
    <w:rPr>
      <w:rFonts w:ascii="Arial Bold" w:eastAsia="Times New Roman" w:hAnsi="Arial Bold" w:cs="Arial"/>
      <w:b/>
      <w:bCs/>
      <w:caps/>
      <w:color w:val="00558C"/>
      <w:kern w:val="2"/>
      <w:sz w:val="28"/>
      <w:szCs w:val="32"/>
      <w:lang w:eastAsia="en-GB"/>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6"/>
      </w:numPr>
      <w:spacing w:before="120" w:after="120"/>
    </w:pPr>
    <w:rPr>
      <w:rFonts w:cs="Arial"/>
      <w:b/>
      <w:caps/>
      <w:sz w:val="24"/>
    </w:rPr>
  </w:style>
  <w:style w:type="paragraph" w:customStyle="1" w:styleId="AppendixHeading2">
    <w:name w:val="Appendix Heading 2"/>
    <w:basedOn w:val="Normal"/>
    <w:next w:val="BodyText"/>
    <w:qFormat/>
    <w:pPr>
      <w:numPr>
        <w:ilvl w:val="1"/>
        <w:numId w:val="6"/>
      </w:numPr>
      <w:spacing w:before="120" w:after="120"/>
    </w:pPr>
    <w:rPr>
      <w:rFonts w:cs="Arial"/>
      <w:b/>
    </w:rPr>
  </w:style>
  <w:style w:type="paragraph" w:customStyle="1" w:styleId="AppendixHeading3">
    <w:name w:val="Appendix Heading 3"/>
    <w:basedOn w:val="Normal"/>
    <w:next w:val="Normal"/>
    <w:qFormat/>
    <w:pPr>
      <w:numPr>
        <w:ilvl w:val="2"/>
        <w:numId w:val="6"/>
      </w:numPr>
      <w:spacing w:before="120" w:after="120"/>
    </w:pPr>
    <w:rPr>
      <w:rFonts w:cs="Arial"/>
    </w:rPr>
  </w:style>
  <w:style w:type="paragraph" w:customStyle="1" w:styleId="AppendixHeading4">
    <w:name w:val="Appendix Heading 4"/>
    <w:basedOn w:val="Normal"/>
    <w:next w:val="BodyText"/>
    <w:qFormat/>
    <w:pPr>
      <w:numPr>
        <w:ilvl w:val="3"/>
        <w:numId w:val="6"/>
      </w:numPr>
      <w:spacing w:before="120" w:after="120"/>
    </w:pPr>
    <w:rPr>
      <w:rFonts w:cs="Arial"/>
    </w:rPr>
  </w:style>
  <w:style w:type="paragraph" w:customStyle="1" w:styleId="equation">
    <w:name w:val="equation"/>
    <w:basedOn w:val="Normal"/>
    <w:next w:val="BodyText"/>
    <w:qFormat/>
    <w:pPr>
      <w:keepNext/>
      <w:tabs>
        <w:tab w:val="left" w:pos="142"/>
      </w:tabs>
      <w:spacing w:after="120"/>
      <w:ind w:left="1276" w:hanging="1276"/>
      <w:jc w:val="right"/>
    </w:pPr>
    <w:rPr>
      <w:rFonts w:eastAsia="Times New Roman"/>
      <w:szCs w:val="24"/>
    </w:rPr>
  </w:style>
  <w:style w:type="paragraph" w:styleId="Closing">
    <w:name w:val="Closing"/>
    <w:next w:val="BodyText"/>
    <w:pPr>
      <w:numPr>
        <w:numId w:val="19"/>
      </w:numPr>
      <w:spacing w:before="120" w:after="240"/>
    </w:pPr>
    <w:rPr>
      <w:rFonts w:ascii="Cambria" w:eastAsia="Calibri" w:hAnsi="Cambria" w:cs="Calibri"/>
      <w:b/>
      <w:bCs/>
      <w:caps/>
      <w:color w:val="00558C"/>
      <w:sz w:val="28"/>
      <w:szCs w:val="28"/>
      <w:lang w:eastAsia="en-US"/>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ListParagraph">
    <w:name w:val="List Paragraph"/>
    <w:basedOn w:val="Normal"/>
    <w:qFormat/>
    <w:pPr>
      <w:ind w:left="720"/>
      <w:contextualSpacing/>
    </w:pPr>
  </w:style>
  <w:style w:type="paragraph" w:styleId="CommentText">
    <w:name w:val="annotation text"/>
    <w:basedOn w:val="Normal"/>
    <w:link w:val="CommentTextChar"/>
    <w:qFormat/>
    <w:pPr>
      <w:spacing w:line="240" w:lineRule="auto"/>
    </w:pPr>
    <w:rPr>
      <w:sz w:val="24"/>
      <w:szCs w:val="24"/>
    </w:rPr>
  </w:style>
  <w:style w:type="paragraph" w:styleId="CommentSubject">
    <w:name w:val="annotation subject"/>
    <w:basedOn w:val="CommentText"/>
    <w:next w:val="CommentText"/>
    <w:link w:val="CommentSubjectChar"/>
    <w:qFormat/>
    <w:rPr>
      <w:b/>
      <w:bCs/>
    </w:rPr>
  </w:style>
  <w:style w:type="paragraph" w:customStyle="1" w:styleId="Documenttype">
    <w:name w:val="Document type"/>
    <w:basedOn w:val="Normal"/>
    <w:qFormat/>
    <w:pPr>
      <w:spacing w:line="500" w:lineRule="exact"/>
      <w:ind w:left="907" w:right="907"/>
    </w:pPr>
    <w:rPr>
      <w:b/>
      <w:caps/>
      <w:color w:val="FFFFFF"/>
      <w:sz w:val="50"/>
      <w:szCs w:val="50"/>
    </w:rPr>
  </w:style>
  <w:style w:type="paragraph" w:customStyle="1" w:styleId="Heading1separationline">
    <w:name w:val="Heading 1 separation line"/>
    <w:basedOn w:val="Normal"/>
    <w:next w:val="BodyText"/>
    <w:qFormat/>
    <w:pPr>
      <w:pBdr>
        <w:bottom w:val="single" w:sz="8" w:space="1" w:color="4F81BD"/>
      </w:pBdr>
      <w:spacing w:after="120" w:line="90" w:lineRule="exact"/>
      <w:ind w:right="8789"/>
    </w:pPr>
    <w:rPr>
      <w:color w:val="000000"/>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sz w:val="22"/>
    </w:rPr>
  </w:style>
  <w:style w:type="paragraph" w:customStyle="1" w:styleId="PageNumber1">
    <w:name w:val="Page Number1"/>
    <w:basedOn w:val="Normal"/>
    <w:qFormat/>
    <w:pPr>
      <w:spacing w:line="180" w:lineRule="exact"/>
      <w:jc w:val="right"/>
    </w:pPr>
    <w:rPr>
      <w:color w:val="4F81BD"/>
    </w:rPr>
  </w:style>
  <w:style w:type="paragraph" w:customStyle="1" w:styleId="Editionnumber">
    <w:name w:val="Edition number"/>
    <w:basedOn w:val="Normal"/>
    <w:qFormat/>
    <w:rPr>
      <w:b/>
      <w:color w:val="4F81BD"/>
      <w:sz w:val="50"/>
      <w:szCs w:val="50"/>
    </w:rPr>
  </w:style>
  <w:style w:type="paragraph" w:customStyle="1" w:styleId="Editionnumber-footer">
    <w:name w:val="Edition number - footer"/>
    <w:basedOn w:val="Footer"/>
    <w:next w:val="NoSpacing"/>
    <w:qFormat/>
    <w:pPr>
      <w:spacing w:before="40" w:line="180" w:lineRule="exact"/>
    </w:pPr>
    <w:rPr>
      <w:b/>
      <w:color w:val="4F81BD"/>
      <w:sz w:val="15"/>
      <w:szCs w:val="15"/>
    </w:rPr>
  </w:style>
  <w:style w:type="paragraph" w:customStyle="1" w:styleId="Contents">
    <w:name w:val="Contents"/>
    <w:basedOn w:val="Header"/>
    <w:qFormat/>
    <w:pPr>
      <w:pBdr>
        <w:bottom w:val="single" w:sz="8" w:space="12" w:color="4F81BD"/>
      </w:pBdr>
      <w:spacing w:before="100" w:line="560" w:lineRule="exact"/>
    </w:pPr>
    <w:rPr>
      <w:b/>
      <w:caps/>
      <w:color w:val="C0504D"/>
      <w:sz w:val="56"/>
      <w:szCs w:val="56"/>
    </w:rPr>
  </w:style>
  <w:style w:type="paragraph" w:styleId="ListNumber3">
    <w:name w:val="List Number 3"/>
    <w:basedOn w:val="Normal"/>
    <w:qFormat/>
    <w:pPr>
      <w:contextualSpacing/>
    </w:pPr>
  </w:style>
  <w:style w:type="paragraph" w:customStyle="1" w:styleId="Tabletext">
    <w:name w:val="Table text"/>
    <w:basedOn w:val="Normal"/>
    <w:qFormat/>
    <w:pPr>
      <w:spacing w:before="60" w:after="60"/>
      <w:ind w:left="113" w:right="113"/>
    </w:pPr>
    <w:rPr>
      <w:color w:val="000000"/>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paragraph" w:customStyle="1" w:styleId="AppendixHead2">
    <w:name w:val="Appendix Head 2"/>
    <w:basedOn w:val="Closing"/>
    <w:next w:val="Heading2separationline"/>
    <w:qFormat/>
    <w:pPr>
      <w:spacing w:after="120"/>
    </w:pPr>
    <w:rPr>
      <w:rFonts w:ascii="Calibri" w:hAnsi="Calibri" w:cs="Arial"/>
      <w:sz w:val="24"/>
      <w:lang w:eastAsia="en-GB"/>
    </w:rPr>
  </w:style>
  <w:style w:type="paragraph" w:customStyle="1" w:styleId="AppendixHead3">
    <w:name w:val="Appendix Head 3"/>
    <w:basedOn w:val="Normal"/>
    <w:next w:val="BodyText"/>
    <w:qFormat/>
    <w:pPr>
      <w:numPr>
        <w:ilvl w:val="3"/>
        <w:numId w:val="19"/>
      </w:numPr>
      <w:spacing w:before="120" w:after="120" w:line="240" w:lineRule="auto"/>
    </w:pPr>
    <w:rPr>
      <w:rFonts w:cs="Arial"/>
      <w:b/>
      <w:smallCaps/>
      <w:color w:val="00558C"/>
      <w:sz w:val="24"/>
      <w:lang w:eastAsia="en-GB"/>
    </w:rPr>
  </w:style>
  <w:style w:type="paragraph" w:customStyle="1" w:styleId="AppendixHead4">
    <w:name w:val="Appendix Head 4"/>
    <w:basedOn w:val="AppendixHead3"/>
    <w:next w:val="BodyText"/>
    <w:qFormat/>
    <w:rPr>
      <w:smallCaps w:val="0"/>
      <w:sz w:val="22"/>
    </w:rPr>
  </w:style>
  <w:style w:type="paragraph" w:customStyle="1" w:styleId="AppendixHead5">
    <w:name w:val="Appendix Head 5"/>
    <w:basedOn w:val="AppendixHead4"/>
    <w:next w:val="BodyText"/>
    <w:qFormat/>
    <w:pPr>
      <w:ind w:left="1701" w:hanging="1701"/>
    </w:pPr>
    <w:rPr>
      <w:b w:val="0"/>
    </w:rPr>
  </w:style>
  <w:style w:type="paragraph" w:customStyle="1" w:styleId="AnnexHead2">
    <w:name w:val="Annex Head 2"/>
    <w:basedOn w:val="Annex"/>
    <w:next w:val="Heading1separationline"/>
    <w:qFormat/>
    <w:pPr>
      <w:spacing w:before="120" w:after="120" w:line="240" w:lineRule="auto"/>
    </w:pPr>
    <w:rPr>
      <w:rFonts w:cs="Calibri"/>
      <w:bCs/>
      <w:sz w:val="24"/>
      <w:lang w:eastAsia="en-GB"/>
    </w:rPr>
  </w:style>
  <w:style w:type="paragraph" w:customStyle="1" w:styleId="AnnexHead3">
    <w:name w:val="Annex Head 3"/>
    <w:basedOn w:val="AnnexHead2"/>
    <w:next w:val="Heading2separationline"/>
    <w:qFormat/>
    <w:rPr>
      <w:smallCaps/>
    </w:rPr>
  </w:style>
  <w:style w:type="paragraph" w:customStyle="1" w:styleId="AnnexHead4">
    <w:name w:val="Annex Head 4"/>
    <w:basedOn w:val="AnnexHead3"/>
    <w:next w:val="BodyText"/>
    <w:qFormat/>
    <w:rPr>
      <w:caps w:val="0"/>
      <w:smallCaps w:val="0"/>
      <w:sz w:val="22"/>
    </w:rPr>
  </w:style>
  <w:style w:type="paragraph" w:customStyle="1" w:styleId="AnnexHead5">
    <w:name w:val="Annex Head 5"/>
    <w:basedOn w:val="Normal"/>
    <w:next w:val="BodyText"/>
    <w:qFormat/>
    <w:pPr>
      <w:numPr>
        <w:ilvl w:val="4"/>
        <w:numId w:val="13"/>
      </w:numPr>
      <w:spacing w:before="120" w:after="120" w:line="240" w:lineRule="auto"/>
      <w:ind w:left="1701" w:hanging="1701"/>
    </w:pPr>
    <w:rPr>
      <w:rFonts w:cs="Calibri"/>
      <w:color w:val="00558C"/>
      <w:sz w:val="22"/>
      <w:lang w:eastAsia="en-GB"/>
    </w:rPr>
  </w:style>
  <w:style w:type="paragraph" w:styleId="BodyTextIndent3">
    <w:name w:val="Body Text Indent 3"/>
    <w:basedOn w:val="Normal"/>
    <w:link w:val="BodyTextIndent3Char"/>
    <w:qFormat/>
    <w:pPr>
      <w:spacing w:after="120"/>
      <w:ind w:left="360"/>
    </w:pPr>
    <w:rPr>
      <w:sz w:val="16"/>
      <w:szCs w:val="16"/>
    </w:rPr>
  </w:style>
  <w:style w:type="paragraph" w:customStyle="1" w:styleId="InsetList">
    <w:name w:val="Inset List"/>
    <w:basedOn w:val="Normal"/>
    <w:qFormat/>
    <w:pPr>
      <w:numPr>
        <w:numId w:val="16"/>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sz w:val="40"/>
      <w:szCs w:val="40"/>
    </w:rPr>
  </w:style>
  <w:style w:type="paragraph" w:customStyle="1" w:styleId="Tablecaption">
    <w:name w:val="Table caption"/>
    <w:basedOn w:val="Caption"/>
    <w:next w:val="BodyText"/>
    <w:qFormat/>
    <w:pPr>
      <w:numPr>
        <w:numId w:val="15"/>
      </w:numPr>
      <w:tabs>
        <w:tab w:val="left" w:pos="851"/>
      </w:tabs>
      <w:spacing w:before="240" w:after="240"/>
      <w:jc w:val="center"/>
    </w:pPr>
    <w:rPr>
      <w:b w:val="0"/>
      <w:u w:val="none"/>
    </w:rPr>
  </w:style>
  <w:style w:type="paragraph" w:styleId="ListNumber">
    <w:name w:val="List Number"/>
    <w:basedOn w:val="Normal"/>
    <w:qFormat/>
    <w:pPr>
      <w:numPr>
        <w:numId w:val="2"/>
      </w:numPr>
      <w:contextualSpacing/>
    </w:p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22"/>
      </w:numPr>
      <w:spacing w:after="120" w:line="240" w:lineRule="auto"/>
      <w:jc w:val="both"/>
    </w:pPr>
    <w:rPr>
      <w:rFonts w:eastAsia="Times New Roman"/>
      <w:sz w:val="22"/>
      <w:szCs w:val="20"/>
      <w:lang w:eastAsia="en-GB"/>
    </w:rPr>
  </w:style>
  <w:style w:type="paragraph" w:customStyle="1" w:styleId="Listi">
    <w:name w:val="List i"/>
    <w:basedOn w:val="Listitext"/>
    <w:qFormat/>
    <w:pPr>
      <w:numPr>
        <w:ilvl w:val="2"/>
        <w:numId w:val="22"/>
      </w:numPr>
      <w:ind w:left="1701" w:hanging="425"/>
    </w:pPr>
  </w:style>
  <w:style w:type="paragraph" w:customStyle="1" w:styleId="Listitext">
    <w:name w:val="List i text"/>
    <w:basedOn w:val="Normal"/>
    <w:qFormat/>
    <w:pPr>
      <w:ind w:left="2268" w:hanging="567"/>
    </w:pPr>
    <w:rPr>
      <w:sz w:val="20"/>
    </w:rPr>
  </w:style>
  <w:style w:type="paragraph" w:styleId="DocumentMap">
    <w:name w:val="Document Map"/>
    <w:basedOn w:val="Normal"/>
    <w:link w:val="DocumentMapChar"/>
    <w:qFormat/>
    <w:pPr>
      <w:shd w:val="clear" w:color="auto" w:fill="000080"/>
      <w:spacing w:line="240" w:lineRule="auto"/>
    </w:pPr>
    <w:rPr>
      <w:rFonts w:ascii="Tahoma" w:eastAsia="Times New Roman" w:hAnsi="Tahoma"/>
      <w:sz w:val="20"/>
      <w:szCs w:val="24"/>
      <w:lang w:val="de-DE" w:eastAsia="de-DE"/>
    </w:rPr>
  </w:style>
  <w:style w:type="paragraph" w:styleId="NormalWeb">
    <w:name w:val="Normal (Web)"/>
    <w:basedOn w:val="Normal"/>
    <w:qFormat/>
    <w:pPr>
      <w:spacing w:line="240" w:lineRule="auto"/>
    </w:pPr>
    <w:rPr>
      <w:rFonts w:ascii="Arial" w:eastAsia="Times New Roman" w:hAnsi="Arial"/>
      <w:sz w:val="22"/>
      <w:szCs w:val="24"/>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rPr>
      <w:rFonts w:ascii="Arial" w:eastAsia="Times New Roman" w:hAnsi="Arial" w:cs="Arial"/>
      <w:color w:val="000000"/>
      <w:sz w:val="24"/>
      <w:szCs w:val="24"/>
    </w:rPr>
  </w:style>
  <w:style w:type="paragraph" w:styleId="IndexHeading">
    <w:name w:val="index heading"/>
    <w:basedOn w:val="Heading"/>
    <w:qFormat/>
  </w:style>
  <w:style w:type="paragraph" w:styleId="TOCHeading">
    <w:name w:val="TOC Heading"/>
    <w:basedOn w:val="Heading1"/>
    <w:next w:val="Normal"/>
    <w:qFormat/>
    <w:pPr>
      <w:numPr>
        <w:numId w:val="0"/>
      </w:numPr>
      <w:spacing w:before="480" w:line="276" w:lineRule="auto"/>
      <w:outlineLvl w:val="9"/>
    </w:pPr>
    <w:rPr>
      <w:caps w:val="0"/>
      <w:color w:val="365F91"/>
      <w:szCs w:val="28"/>
      <w:lang w:val="sv-SE"/>
    </w:rPr>
  </w:style>
  <w:style w:type="paragraph" w:customStyle="1" w:styleId="Tableinsetlist">
    <w:name w:val="Table inset list"/>
    <w:basedOn w:val="InsetList"/>
    <w:qFormat/>
    <w:pPr>
      <w:numPr>
        <w:numId w:val="14"/>
      </w:numPr>
      <w:spacing w:before="120"/>
      <w:contextualSpacing/>
    </w:pPr>
    <w:rPr>
      <w:sz w:val="20"/>
    </w:rPr>
  </w:style>
  <w:style w:type="paragraph" w:customStyle="1" w:styleId="Textedesaisie">
    <w:name w:val="Texte de saisie"/>
    <w:basedOn w:val="Normal"/>
    <w:link w:val="TextedesaisieCar"/>
    <w:qFormat/>
    <w:rPr>
      <w:color w:val="000000"/>
      <w:sz w:val="22"/>
    </w:rPr>
  </w:style>
  <w:style w:type="paragraph" w:customStyle="1" w:styleId="AnnexTablecaption">
    <w:name w:val="Annex Table caption"/>
    <w:basedOn w:val="BodyText"/>
    <w:qFormat/>
    <w:pPr>
      <w:numPr>
        <w:numId w:val="24"/>
      </w:numPr>
      <w:jc w:val="center"/>
    </w:pPr>
    <w:rPr>
      <w:i/>
      <w:color w:val="00558C"/>
      <w:lang w:eastAsia="en-GB"/>
    </w:rPr>
  </w:style>
  <w:style w:type="paragraph" w:customStyle="1" w:styleId="Figurecaption">
    <w:name w:val="Figure caption"/>
    <w:basedOn w:val="Caption"/>
    <w:next w:val="BodyText"/>
    <w:qFormat/>
    <w:pPr>
      <w:numPr>
        <w:numId w:val="17"/>
      </w:numPr>
      <w:spacing w:before="240" w:after="240"/>
      <w:jc w:val="center"/>
    </w:pPr>
    <w:rPr>
      <w:b w:val="0"/>
      <w:u w:val="none"/>
    </w:rPr>
  </w:style>
  <w:style w:type="paragraph" w:styleId="NoSpacing">
    <w:name w:val="No Spacing"/>
    <w:qFormat/>
    <w:rPr>
      <w:rFonts w:eastAsia="Calibri"/>
      <w:sz w:val="18"/>
      <w:szCs w:val="22"/>
      <w:lang w:eastAsia="en-US"/>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000000"/>
      </w:pBdr>
      <w:tabs>
        <w:tab w:val="right" w:pos="15309"/>
      </w:tabs>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000000"/>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sz w:val="24"/>
      <w:szCs w:val="24"/>
      <w:lang w:val="en-US"/>
    </w:rPr>
  </w:style>
  <w:style w:type="paragraph" w:customStyle="1" w:styleId="Headingseparationline-landscape">
    <w:name w:val="Heading separation line - landscape"/>
    <w:basedOn w:val="Heading1separationline"/>
    <w:qFormat/>
    <w:pPr>
      <w:ind w:right="14317"/>
    </w:pPr>
  </w:style>
  <w:style w:type="paragraph" w:styleId="Revision">
    <w:name w:val="Revision"/>
    <w:qFormat/>
    <w:rPr>
      <w:rFonts w:eastAsia="Calibri"/>
      <w:sz w:val="18"/>
      <w:szCs w:val="22"/>
      <w:lang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eastAsia="Times New Roman"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iCs w:val="0"/>
      <w:color w:val="auto"/>
      <w:sz w:val="24"/>
      <w:szCs w:val="20"/>
      <w:lang w:eastAsia="en-AU"/>
    </w:rPr>
  </w:style>
  <w:style w:type="paragraph" w:customStyle="1" w:styleId="MRN">
    <w:name w:val="MRN"/>
    <w:basedOn w:val="Normal"/>
    <w:link w:val="MRNChar"/>
    <w:qFormat/>
    <w:rPr>
      <w:b/>
      <w:color w:val="00558C"/>
      <w:sz w:val="28"/>
    </w:rPr>
  </w:style>
  <w:style w:type="paragraph" w:customStyle="1" w:styleId="Revokes">
    <w:name w:val="Revokes"/>
    <w:basedOn w:val="Documentdate"/>
    <w:link w:val="RevokesChar"/>
    <w:qFormat/>
    <w:rPr>
      <w:i/>
    </w:rPr>
  </w:style>
  <w:style w:type="paragraph" w:customStyle="1" w:styleId="Reference">
    <w:name w:val="Reference"/>
    <w:basedOn w:val="Normal"/>
    <w:qFormat/>
    <w:pPr>
      <w:numPr>
        <w:numId w:val="8"/>
      </w:numPr>
      <w:spacing w:before="120" w:after="60" w:line="240" w:lineRule="auto"/>
      <w:jc w:val="both"/>
    </w:pPr>
    <w:rPr>
      <w:rFonts w:eastAsia="Times New Roman"/>
      <w:sz w:val="22"/>
      <w:szCs w:val="20"/>
    </w:rPr>
  </w:style>
  <w:style w:type="paragraph" w:customStyle="1" w:styleId="Equation1">
    <w:name w:val="Equation1"/>
    <w:basedOn w:val="BodyText"/>
    <w:next w:val="BodyText"/>
    <w:link w:val="EquationChar"/>
    <w:qFormat/>
    <w:pPr>
      <w:numPr>
        <w:numId w:val="20"/>
      </w:numPr>
      <w:spacing w:before="60"/>
      <w:jc w:val="right"/>
    </w:pPr>
  </w:style>
  <w:style w:type="paragraph" w:customStyle="1" w:styleId="Furtherreading">
    <w:name w:val="Further reading"/>
    <w:basedOn w:val="BodyText"/>
    <w:link w:val="FurtherreadingChar"/>
    <w:qFormat/>
    <w:pPr>
      <w:numPr>
        <w:numId w:val="21"/>
      </w:numPr>
      <w:spacing w:before="60"/>
    </w:p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3"/>
      </w:numPr>
      <w:jc w:val="center"/>
    </w:pPr>
    <w:rPr>
      <w:i/>
      <w:color w:val="00558C"/>
    </w:rPr>
  </w:style>
  <w:style w:type="paragraph" w:styleId="Index1">
    <w:name w:val="index 1"/>
    <w:basedOn w:val="Normal"/>
    <w:next w:val="Normal"/>
    <w:autoRedefine/>
    <w:qFormat/>
    <w:pPr>
      <w:spacing w:line="240" w:lineRule="auto"/>
      <w:ind w:left="180" w:hanging="180"/>
    </w:pPr>
  </w:style>
  <w:style w:type="paragraph" w:customStyle="1" w:styleId="AppendixHead1">
    <w:name w:val="Appendix Head 1"/>
    <w:basedOn w:val="Normal"/>
    <w:next w:val="Heading1separationline"/>
    <w:qFormat/>
    <w:pPr>
      <w:numPr>
        <w:ilvl w:val="1"/>
        <w:numId w:val="19"/>
      </w:numPr>
      <w:spacing w:before="120" w:after="120" w:line="240" w:lineRule="auto"/>
    </w:pPr>
    <w:rPr>
      <w:rFonts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paragraph" w:customStyle="1" w:styleId="Quotationparagraph">
    <w:name w:val="Quotation paragraph"/>
    <w:basedOn w:val="BodyText"/>
    <w:link w:val="QuotationparagraphChar"/>
    <w:qFormat/>
    <w:pPr>
      <w:ind w:left="567" w:right="707"/>
    </w:pPr>
  </w:style>
  <w:style w:type="paragraph" w:customStyle="1" w:styleId="HeaderLeft">
    <w:name w:val="Header Left"/>
    <w:basedOn w:val="Header"/>
    <w:qFormat/>
  </w:style>
  <w:style w:type="paragraph" w:customStyle="1" w:styleId="Figure0">
    <w:name w:val="Figure"/>
    <w:basedOn w:val="Caption"/>
    <w:qFormat/>
  </w:style>
  <w:style w:type="paragraph" w:customStyle="1" w:styleId="FrameContents">
    <w:name w:val="Frame Contents"/>
    <w:basedOn w:val="Normal"/>
    <w:qFormat/>
  </w:style>
  <w:style w:type="paragraph" w:customStyle="1" w:styleId="normal1">
    <w:name w:val="normal1"/>
    <w:qFormat/>
    <w:pPr>
      <w:widowControl w:val="0"/>
    </w:pPr>
    <w:rPr>
      <w:rFonts w:eastAsia="Calibri"/>
    </w:rPr>
  </w:style>
  <w:style w:type="numbering" w:customStyle="1" w:styleId="Bullet">
    <w:name w:val="Bullet •"/>
    <w:qFormat/>
  </w:style>
  <w:style w:type="numbering" w:styleId="ArticleSection">
    <w:name w:val="Outline List 3"/>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hyperlink" Target="https://maritimeconnectivity.net/mcp-documents%23MSR" TargetMode="External"/><Relationship Id="rId39" Type="http://schemas.openxmlformats.org/officeDocument/2006/relationships/image" Target="media/image19.png"/><Relationship Id="rId21" Type="http://schemas.openxmlformats.org/officeDocument/2006/relationships/package" Target="embeddings/Microsoft_Word_Document.docx"/><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image" Target="media/image25.jpeg"/><Relationship Id="rId50" Type="http://schemas.openxmlformats.org/officeDocument/2006/relationships/image" Target="media/image28.png"/><Relationship Id="rId55" Type="http://schemas.openxmlformats.org/officeDocument/2006/relationships/image" Target="media/image32.png"/><Relationship Id="rId63" Type="http://schemas.openxmlformats.org/officeDocument/2006/relationships/image" Target="media/image39.png"/><Relationship Id="rId68" Type="http://schemas.openxmlformats.org/officeDocument/2006/relationships/footer" Target="footer4.xml"/><Relationship Id="rId7" Type="http://schemas.openxmlformats.org/officeDocument/2006/relationships/webSettings" Target="webSettings.xml"/><Relationship Id="rId71"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9.jpeg"/><Relationship Id="rId11" Type="http://schemas.openxmlformats.org/officeDocument/2006/relationships/image" Target="media/image2.png"/><Relationship Id="rId24" Type="http://schemas.openxmlformats.org/officeDocument/2006/relationships/hyperlink" Target="https://niord.org/"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3.jpeg"/><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header" Target="header4.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oleObject" Target="embeddings/oleObject1.bin"/><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image" Target="media/image33.jpeg"/><Relationship Id="rId61" Type="http://schemas.openxmlformats.org/officeDocument/2006/relationships/image" Target="media/image37.png"/><Relationship Id="rId10" Type="http://schemas.openxmlformats.org/officeDocument/2006/relationships/image" Target="media/image1.png"/><Relationship Id="rId19"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22.jpeg"/><Relationship Id="rId52" Type="http://schemas.openxmlformats.org/officeDocument/2006/relationships/image" Target="media/image30.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hyperlink" Target="https://iho.int/en/s-100-based-product-specifications" TargetMode="External"/><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yperlink" Target="https://navui.amsaconnectivity.net/" TargetMode="External"/><Relationship Id="rId48" Type="http://schemas.openxmlformats.org/officeDocument/2006/relationships/image" Target="media/image26.jpeg"/><Relationship Id="rId56" Type="http://schemas.openxmlformats.org/officeDocument/2006/relationships/hyperlink" Target="https://navui.amsaconnectivity.net/" TargetMode="External"/><Relationship Id="rId64" Type="http://schemas.openxmlformats.org/officeDocument/2006/relationships/image" Target="media/image40.png"/><Relationship Id="rId69" Type="http://schemas.openxmlformats.org/officeDocument/2006/relationships/footer" Target="footer5.xml"/><Relationship Id="rId8" Type="http://schemas.openxmlformats.org/officeDocument/2006/relationships/footnotes" Target="footnotes.xml"/><Relationship Id="rId51" Type="http://schemas.openxmlformats.org/officeDocument/2006/relationships/image" Target="media/image29.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hyperlink" Target="https://maritimeconnectivity.net/"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4.jpeg"/><Relationship Id="rId59" Type="http://schemas.openxmlformats.org/officeDocument/2006/relationships/image" Target="media/image35.png"/><Relationship Id="rId67" Type="http://schemas.openxmlformats.org/officeDocument/2006/relationships/header" Target="header5.xml"/><Relationship Id="rId20" Type="http://schemas.openxmlformats.org/officeDocument/2006/relationships/image" Target="media/image6.png"/><Relationship Id="rId41" Type="http://schemas.openxmlformats.org/officeDocument/2006/relationships/hyperlink" Target="https://navui.amsaconnectivity.net/" TargetMode="External"/><Relationship Id="rId54" Type="http://schemas.openxmlformats.org/officeDocument/2006/relationships/hyperlink" Target="https://navui.amsaconnectivity.net/" TargetMode="External"/><Relationship Id="rId62" Type="http://schemas.openxmlformats.org/officeDocument/2006/relationships/image" Target="media/image38.png"/><Relationship Id="rId7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돋움"/>
        <a:cs typeface="DejaVu Sans"/>
      </a:majorFont>
      <a:minorFont>
        <a:latin typeface="Arial"/>
        <a:ea typeface="바탕"/>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6E7DAD-E237-476F-AD96-C38CB5361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89FDD5-3A0B-4DA9-9F6E-9B5B78A7D871}">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C9EF0862-88DD-4FBA-9DEC-1445208BA1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4500</Words>
  <Characters>23584</Characters>
  <Application>Microsoft Office Word</Application>
  <DocSecurity>0</DocSecurity>
  <Lines>548</Lines>
  <Paragraphs>338</Paragraphs>
  <ScaleCrop>false</ScaleCrop>
  <Company/>
  <LinksUpToDate>false</LinksUpToDate>
  <CharactersWithSpaces>27746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dc:description/>
  <cp:lastModifiedBy>Alisa Nechyporuk</cp:lastModifiedBy>
  <cp:revision>7</cp:revision>
  <dcterms:created xsi:type="dcterms:W3CDTF">2025-02-28T16:47:00Z</dcterms:created>
  <dcterms:modified xsi:type="dcterms:W3CDTF">2025-03-07T20:11:00Z</dcterms:modified>
  <dc:language>en-DK</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